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EFF8" w14:textId="1F4CB272" w:rsidR="00322D67" w:rsidRDefault="002F4508">
      <w:pPr>
        <w:spacing w:before="17" w:line="282" w:lineRule="exact"/>
        <w:jc w:val="center"/>
        <w:textAlignment w:val="baseline"/>
        <w:rPr>
          <w:rFonts w:eastAsia="Times New Roman"/>
          <w:color w:val="000000"/>
          <w:sz w:val="26"/>
        </w:rPr>
      </w:pPr>
      <w:bookmarkStart w:id="0" w:name="_GoBack"/>
      <w:bookmarkEnd w:id="0"/>
      <w:r>
        <w:rPr>
          <w:rFonts w:eastAsia="Times New Roman"/>
          <w:color w:val="000000"/>
          <w:sz w:val="26"/>
        </w:rPr>
        <w:t>BEFORE THE GUAM PUBLIC UTILITIES COMMISSION</w:t>
      </w:r>
    </w:p>
    <w:p w14:paraId="04D9F210" w14:textId="77777777" w:rsidR="00322D67" w:rsidRDefault="002F4508">
      <w:pPr>
        <w:spacing w:before="293" w:line="282" w:lineRule="exact"/>
        <w:textAlignment w:val="baseline"/>
        <w:rPr>
          <w:rFonts w:eastAsia="Times New Roman"/>
          <w:color w:val="000000"/>
          <w:spacing w:val="1"/>
          <w:sz w:val="26"/>
        </w:rPr>
      </w:pPr>
      <w:r>
        <w:rPr>
          <w:rFonts w:eastAsia="Times New Roman"/>
          <w:color w:val="000000"/>
          <w:spacing w:val="1"/>
          <w:sz w:val="26"/>
        </w:rPr>
        <w:t>GUAM TELECOMMUNICATIONS</w:t>
      </w:r>
    </w:p>
    <w:p w14:paraId="3827F1C1" w14:textId="302C3034" w:rsidR="00322D67" w:rsidRDefault="002F4508">
      <w:pPr>
        <w:tabs>
          <w:tab w:val="left" w:pos="4968"/>
        </w:tabs>
        <w:spacing w:before="5" w:line="282" w:lineRule="exact"/>
        <w:textAlignment w:val="baseline"/>
        <w:rPr>
          <w:rFonts w:eastAsia="Times New Roman"/>
          <w:color w:val="000000"/>
          <w:spacing w:val="-1"/>
          <w:sz w:val="26"/>
        </w:rPr>
      </w:pPr>
      <w:r>
        <w:rPr>
          <w:rFonts w:eastAsia="Times New Roman"/>
          <w:color w:val="000000"/>
          <w:spacing w:val="-1"/>
          <w:sz w:val="26"/>
        </w:rPr>
        <w:t>ACT OF 2004</w:t>
      </w:r>
      <w:r>
        <w:rPr>
          <w:rFonts w:eastAsia="Times New Roman"/>
          <w:color w:val="000000"/>
          <w:spacing w:val="-1"/>
          <w:sz w:val="26"/>
        </w:rPr>
        <w:tab/>
      </w:r>
      <w:r w:rsidR="00ED30A4">
        <w:rPr>
          <w:rFonts w:eastAsia="Times New Roman"/>
          <w:color w:val="000000"/>
          <w:spacing w:val="-1"/>
          <w:sz w:val="26"/>
        </w:rPr>
        <w:tab/>
      </w:r>
      <w:r>
        <w:rPr>
          <w:rFonts w:eastAsia="Times New Roman"/>
          <w:color w:val="000000"/>
          <w:spacing w:val="-1"/>
          <w:sz w:val="26"/>
        </w:rPr>
        <w:t>DOCKET 05-01</w:t>
      </w:r>
    </w:p>
    <w:p w14:paraId="6F725DD0" w14:textId="24C0C21B" w:rsidR="00322D67" w:rsidRDefault="00647814">
      <w:pPr>
        <w:tabs>
          <w:tab w:val="right" w:pos="8640"/>
        </w:tabs>
        <w:spacing w:before="207" w:line="370" w:lineRule="exact"/>
        <w:jc w:val="center"/>
        <w:textAlignment w:val="baseline"/>
        <w:rPr>
          <w:rFonts w:eastAsia="Times New Roman"/>
          <w:color w:val="000000"/>
          <w:spacing w:val="-3"/>
          <w:sz w:val="26"/>
        </w:rPr>
      </w:pPr>
      <w:r>
        <w:rPr>
          <w:rFonts w:eastAsia="Times New Roman"/>
          <w:color w:val="000000"/>
          <w:spacing w:val="-3"/>
          <w:sz w:val="26"/>
        </w:rPr>
        <w:t xml:space="preserve">AMENDED </w:t>
      </w:r>
      <w:r w:rsidR="002F4508">
        <w:rPr>
          <w:rFonts w:eastAsia="Times New Roman"/>
          <w:color w:val="000000"/>
          <w:spacing w:val="-3"/>
          <w:sz w:val="26"/>
        </w:rPr>
        <w:t>RULES GOVERNING</w:t>
      </w:r>
      <w:r w:rsidR="00CA5281">
        <w:rPr>
          <w:rFonts w:eastAsia="Times New Roman"/>
          <w:color w:val="000000"/>
          <w:spacing w:val="-3"/>
          <w:sz w:val="26"/>
        </w:rPr>
        <w:t xml:space="preserve"> </w:t>
      </w:r>
      <w:r w:rsidR="002F4508">
        <w:rPr>
          <w:rFonts w:eastAsia="Times New Roman"/>
          <w:color w:val="000000"/>
          <w:spacing w:val="-3"/>
          <w:sz w:val="26"/>
        </w:rPr>
        <w:t>REGULATORY FEES FOR</w:t>
      </w:r>
      <w:r>
        <w:rPr>
          <w:rFonts w:eastAsia="Times New Roman"/>
          <w:color w:val="000000"/>
          <w:spacing w:val="-3"/>
          <w:sz w:val="26"/>
        </w:rPr>
        <w:t xml:space="preserve"> </w:t>
      </w:r>
      <w:r w:rsidR="002F4508">
        <w:rPr>
          <w:rFonts w:eastAsia="Times New Roman"/>
          <w:color w:val="000000"/>
          <w:spacing w:val="-3"/>
          <w:sz w:val="26"/>
        </w:rPr>
        <w:t>TELECOMMUNICATIONS COMPANIES</w:t>
      </w:r>
    </w:p>
    <w:p w14:paraId="3F293172" w14:textId="77777777" w:rsidR="00ED30A4" w:rsidRDefault="00ED30A4" w:rsidP="00AE410B">
      <w:pPr>
        <w:tabs>
          <w:tab w:val="right" w:pos="8640"/>
        </w:tabs>
        <w:spacing w:before="207" w:line="370" w:lineRule="exact"/>
        <w:jc w:val="center"/>
        <w:textAlignment w:val="baseline"/>
        <w:rPr>
          <w:rFonts w:eastAsia="Times New Roman"/>
          <w:color w:val="000000"/>
          <w:spacing w:val="-3"/>
          <w:sz w:val="26"/>
        </w:rPr>
      </w:pPr>
    </w:p>
    <w:p w14:paraId="21EA8A5C" w14:textId="5CAAA818" w:rsidR="00322D67" w:rsidRPr="00AE410B" w:rsidRDefault="009272EA">
      <w:pPr>
        <w:tabs>
          <w:tab w:val="right" w:pos="8640"/>
        </w:tabs>
        <w:spacing w:before="207" w:line="370" w:lineRule="exact"/>
        <w:textAlignment w:val="baseline"/>
        <w:rPr>
          <w:rFonts w:eastAsia="Times New Roman"/>
          <w:color w:val="000000"/>
          <w:sz w:val="24"/>
          <w:szCs w:val="24"/>
        </w:rPr>
      </w:pPr>
      <w:r w:rsidRPr="00AE410B">
        <w:rPr>
          <w:noProof/>
          <w:sz w:val="24"/>
          <w:szCs w:val="24"/>
        </w:rPr>
        <mc:AlternateContent>
          <mc:Choice Requires="wps">
            <w:drawing>
              <wp:anchor distT="0" distB="0" distL="0" distR="0" simplePos="0" relativeHeight="251656704" behindDoc="1" locked="0" layoutInCell="1" allowOverlap="1" wp14:anchorId="3F980D46" wp14:editId="47421DE8">
                <wp:simplePos x="0" y="0"/>
                <wp:positionH relativeFrom="page">
                  <wp:posOffset>6858000</wp:posOffset>
                </wp:positionH>
                <wp:positionV relativeFrom="page">
                  <wp:posOffset>2362200</wp:posOffset>
                </wp:positionV>
                <wp:extent cx="201295" cy="165735"/>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E5E7A" w14:textId="055D058D" w:rsidR="00322D67" w:rsidRDefault="00322D67">
                            <w:pPr>
                              <w:spacing w:line="254" w:lineRule="exact"/>
                              <w:textAlignment w:val="baseline"/>
                              <w:rPr>
                                <w:rFonts w:ascii="Lucida Console" w:eastAsia="Lucida Console" w:hAnsi="Lucida Console"/>
                                <w:color w:val="000000"/>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80D46" id="_x0000_t202" coordsize="21600,21600" o:spt="202" path="m,l,21600r21600,l21600,xe">
                <v:stroke joinstyle="miter"/>
                <v:path gradientshapeok="t" o:connecttype="rect"/>
              </v:shapetype>
              <v:shape id="_x0000_s0" o:spid="_x0000_s1026" type="#_x0000_t202" style="position:absolute;margin-left:540pt;margin-top:186pt;width:15.85pt;height:13.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" filled="f" stroked="f">
                <v:textbox inset="0,0,0,0">
                  <w:txbxContent>
                    <w:p w14:paraId="289E5E7A" w14:textId="055D058D" w:rsidR="00322D67" w:rsidRDefault="00322D67">
                      <w:pPr>
                        <w:spacing w:line="254" w:lineRule="exact"/>
                        <w:textAlignment w:val="baseline"/>
                        <w:rPr>
                          <w:rFonts w:ascii="Lucida Console" w:eastAsia="Lucida Console" w:hAnsi="Lucida Console"/>
                          <w:color w:val="000000"/>
                          <w:sz w:val="26"/>
                        </w:rPr>
                      </w:pPr>
                    </w:p>
                  </w:txbxContent>
                </v:textbox>
                <w10:wrap type="square" anchorx="page" anchory="page"/>
              </v:shape>
            </w:pict>
          </mc:Fallback>
        </mc:AlternateContent>
      </w:r>
      <w:r w:rsidR="002F4508" w:rsidRPr="00AE410B">
        <w:rPr>
          <w:rFonts w:eastAsia="Times New Roman"/>
          <w:color w:val="000000"/>
          <w:sz w:val="24"/>
          <w:szCs w:val="24"/>
        </w:rPr>
        <w:t>1. General Provisions.</w:t>
      </w:r>
      <w:r w:rsidR="002F4508" w:rsidRPr="00AE410B">
        <w:rPr>
          <w:rFonts w:eastAsia="Times New Roman"/>
          <w:color w:val="000000"/>
          <w:sz w:val="24"/>
          <w:szCs w:val="24"/>
        </w:rPr>
        <w:tab/>
      </w:r>
    </w:p>
    <w:p w14:paraId="3DCAB647" w14:textId="387043B7" w:rsidR="00322D67" w:rsidRPr="00AE410B" w:rsidRDefault="002F4508">
      <w:pPr>
        <w:numPr>
          <w:ilvl w:val="0"/>
          <w:numId w:val="1"/>
        </w:numPr>
        <w:tabs>
          <w:tab w:val="clear" w:pos="360"/>
          <w:tab w:val="left" w:pos="720"/>
        </w:tabs>
        <w:spacing w:before="305" w:line="301" w:lineRule="exact"/>
        <w:ind w:left="720" w:hanging="360"/>
        <w:textAlignment w:val="baseline"/>
        <w:rPr>
          <w:rFonts w:eastAsia="Times New Roman"/>
          <w:color w:val="000000"/>
          <w:sz w:val="24"/>
          <w:szCs w:val="24"/>
        </w:rPr>
      </w:pPr>
      <w:r w:rsidRPr="00AE410B">
        <w:rPr>
          <w:rFonts w:eastAsia="Times New Roman"/>
          <w:color w:val="000000"/>
          <w:sz w:val="24"/>
          <w:szCs w:val="24"/>
        </w:rPr>
        <w:t xml:space="preserve">The Guam Public Utilities Commission </w:t>
      </w:r>
      <w:r w:rsidRPr="00AE410B">
        <w:rPr>
          <w:rFonts w:ascii="Arial" w:eastAsia="Arial" w:hAnsi="Arial"/>
          <w:i/>
          <w:color w:val="000000"/>
          <w:sz w:val="24"/>
          <w:szCs w:val="24"/>
        </w:rPr>
        <w:t xml:space="preserve">("PUC"] </w:t>
      </w:r>
      <w:r w:rsidRPr="00AE410B">
        <w:rPr>
          <w:rFonts w:eastAsia="Times New Roman"/>
          <w:color w:val="000000"/>
          <w:sz w:val="24"/>
          <w:szCs w:val="24"/>
        </w:rPr>
        <w:t>is authorized under 12 GCA 12</w:t>
      </w:r>
      <w:r w:rsidR="000065CA" w:rsidRPr="00AE410B">
        <w:rPr>
          <w:rFonts w:eastAsia="Times New Roman"/>
          <w:color w:val="000000"/>
          <w:sz w:val="24"/>
          <w:szCs w:val="24"/>
        </w:rPr>
        <w:t>2</w:t>
      </w:r>
      <w:r w:rsidRPr="00AE410B">
        <w:rPr>
          <w:rFonts w:eastAsia="Times New Roman"/>
          <w:color w:val="000000"/>
          <w:sz w:val="24"/>
          <w:szCs w:val="24"/>
        </w:rPr>
        <w:t xml:space="preserve">04(c)(7) to adopt reasonable rules to apportion its reasonable operating expenses among telecommunications companies, as that term is defined in </w:t>
      </w:r>
      <w:bookmarkStart w:id="1" w:name="_Hlk506716023"/>
      <w:r w:rsidRPr="00AE410B">
        <w:rPr>
          <w:rFonts w:eastAsia="Times New Roman"/>
          <w:color w:val="000000"/>
          <w:sz w:val="24"/>
          <w:szCs w:val="24"/>
        </w:rPr>
        <w:t>12 GCA 12</w:t>
      </w:r>
      <w:r w:rsidR="000065CA" w:rsidRPr="00AE410B">
        <w:rPr>
          <w:rFonts w:eastAsia="Times New Roman"/>
          <w:color w:val="000000"/>
          <w:sz w:val="24"/>
          <w:szCs w:val="24"/>
        </w:rPr>
        <w:t>2</w:t>
      </w:r>
      <w:r w:rsidRPr="00AE410B">
        <w:rPr>
          <w:rFonts w:eastAsia="Times New Roman"/>
          <w:color w:val="000000"/>
          <w:sz w:val="24"/>
          <w:szCs w:val="24"/>
        </w:rPr>
        <w:t>01(h)</w:t>
      </w:r>
      <w:bookmarkEnd w:id="1"/>
      <w:r w:rsidRPr="00AE410B">
        <w:rPr>
          <w:rFonts w:eastAsia="Times New Roman"/>
          <w:color w:val="000000"/>
          <w:sz w:val="24"/>
          <w:szCs w:val="24"/>
        </w:rPr>
        <w:t xml:space="preserve">, including, without limitation companies providing commercial mobile service </w:t>
      </w:r>
      <w:r w:rsidRPr="00AE410B">
        <w:rPr>
          <w:rFonts w:ascii="Arial" w:eastAsia="Arial" w:hAnsi="Arial"/>
          <w:i/>
          <w:color w:val="000000"/>
          <w:sz w:val="24"/>
          <w:szCs w:val="24"/>
        </w:rPr>
        <w:t xml:space="preserve">["carriers"], </w:t>
      </w:r>
      <w:r w:rsidRPr="00AE410B">
        <w:rPr>
          <w:rFonts w:eastAsia="Times New Roman"/>
          <w:color w:val="000000"/>
          <w:sz w:val="24"/>
          <w:szCs w:val="24"/>
        </w:rPr>
        <w:t>for the regulation of such companies and for the administration of the Guam Telecommunications Act of 2004.</w:t>
      </w:r>
    </w:p>
    <w:p w14:paraId="24BF86E1" w14:textId="36A57788" w:rsidR="00322D67" w:rsidRDefault="002F4508">
      <w:pPr>
        <w:numPr>
          <w:ilvl w:val="0"/>
          <w:numId w:val="1"/>
        </w:numPr>
        <w:tabs>
          <w:tab w:val="clear" w:pos="360"/>
          <w:tab w:val="left" w:pos="720"/>
        </w:tabs>
        <w:spacing w:before="300" w:line="301" w:lineRule="exact"/>
        <w:ind w:left="720" w:right="360" w:hanging="360"/>
        <w:jc w:val="both"/>
        <w:textAlignment w:val="baseline"/>
        <w:rPr>
          <w:rFonts w:eastAsia="Times New Roman"/>
          <w:color w:val="000000"/>
          <w:sz w:val="24"/>
          <w:szCs w:val="24"/>
        </w:rPr>
      </w:pPr>
      <w:r w:rsidRPr="00AE410B">
        <w:rPr>
          <w:rFonts w:eastAsia="Times New Roman"/>
          <w:color w:val="000000"/>
          <w:sz w:val="24"/>
          <w:szCs w:val="24"/>
        </w:rPr>
        <w:t>PUC has three kinds of expenses, which shall be recovered under these rules:</w:t>
      </w:r>
    </w:p>
    <w:p w14:paraId="04E77DE4" w14:textId="77777777" w:rsidR="003263F1" w:rsidRPr="00AE410B" w:rsidRDefault="003263F1" w:rsidP="00AE410B">
      <w:pPr>
        <w:tabs>
          <w:tab w:val="left" w:pos="360"/>
          <w:tab w:val="left" w:pos="720"/>
        </w:tabs>
        <w:spacing w:before="300" w:line="301" w:lineRule="exact"/>
        <w:ind w:left="720" w:right="360"/>
        <w:jc w:val="both"/>
        <w:textAlignment w:val="baseline"/>
        <w:rPr>
          <w:rFonts w:eastAsia="Times New Roman"/>
          <w:color w:val="000000"/>
          <w:sz w:val="24"/>
          <w:szCs w:val="24"/>
        </w:rPr>
      </w:pPr>
    </w:p>
    <w:p w14:paraId="62A62B58" w14:textId="05890A38" w:rsidR="00322D67" w:rsidRDefault="002F4508" w:rsidP="003263F1">
      <w:pPr>
        <w:numPr>
          <w:ilvl w:val="0"/>
          <w:numId w:val="2"/>
        </w:numPr>
        <w:tabs>
          <w:tab w:val="clear" w:pos="720"/>
          <w:tab w:val="left" w:pos="1800"/>
        </w:tabs>
        <w:ind w:left="1800" w:hanging="720"/>
        <w:textAlignment w:val="baseline"/>
        <w:rPr>
          <w:rFonts w:eastAsia="Times New Roman"/>
          <w:color w:val="000000"/>
          <w:spacing w:val="-6"/>
          <w:sz w:val="24"/>
          <w:szCs w:val="24"/>
        </w:rPr>
      </w:pPr>
      <w:r w:rsidRPr="00AE410B">
        <w:rPr>
          <w:rFonts w:eastAsia="Times New Roman"/>
          <w:color w:val="000000"/>
          <w:spacing w:val="-6"/>
          <w:sz w:val="24"/>
          <w:szCs w:val="24"/>
        </w:rPr>
        <w:t>Prior to the commencement of each fiscal year,</w:t>
      </w:r>
      <w:r w:rsidR="002928E8">
        <w:rPr>
          <w:rStyle w:val="FootnoteReference"/>
          <w:rFonts w:eastAsia="Times New Roman"/>
          <w:color w:val="000000"/>
          <w:spacing w:val="-6"/>
          <w:sz w:val="24"/>
          <w:szCs w:val="24"/>
        </w:rPr>
        <w:footnoteReference w:id="1"/>
      </w:r>
      <w:r w:rsidRPr="00AE410B">
        <w:rPr>
          <w:rFonts w:eastAsia="Times New Roman"/>
          <w:color w:val="000000"/>
          <w:spacing w:val="-6"/>
          <w:sz w:val="24"/>
          <w:szCs w:val="24"/>
        </w:rPr>
        <w:t xml:space="preserve"> PUC establishes an annual budget to cover its administrative expenses, which ha</w:t>
      </w:r>
      <w:r w:rsidR="00CA5281" w:rsidRPr="00AE410B">
        <w:rPr>
          <w:rFonts w:eastAsia="Times New Roman"/>
          <w:color w:val="000000"/>
          <w:spacing w:val="-6"/>
          <w:sz w:val="24"/>
          <w:szCs w:val="24"/>
        </w:rPr>
        <w:t>s</w:t>
      </w:r>
      <w:r w:rsidRPr="00AE410B">
        <w:rPr>
          <w:rFonts w:eastAsia="Times New Roman"/>
          <w:color w:val="000000"/>
          <w:spacing w:val="-6"/>
          <w:sz w:val="24"/>
          <w:szCs w:val="24"/>
        </w:rPr>
        <w:t xml:space="preserve"> averaged in the range of $</w:t>
      </w:r>
      <w:r w:rsidR="00647814" w:rsidRPr="00AE410B">
        <w:rPr>
          <w:rFonts w:eastAsia="Times New Roman"/>
          <w:color w:val="000000"/>
          <w:spacing w:val="-6"/>
          <w:sz w:val="24"/>
          <w:szCs w:val="24"/>
        </w:rPr>
        <w:t>490,000</w:t>
      </w:r>
      <w:r w:rsidRPr="00AE410B">
        <w:rPr>
          <w:rFonts w:eastAsia="Times New Roman"/>
          <w:color w:val="000000"/>
          <w:spacing w:val="-6"/>
          <w:sz w:val="24"/>
          <w:szCs w:val="24"/>
        </w:rPr>
        <w:t>. It has been PUC's practice to allocate one-</w:t>
      </w:r>
      <w:r w:rsidR="009F5F32" w:rsidRPr="00AE410B">
        <w:rPr>
          <w:rFonts w:eastAsia="Times New Roman"/>
          <w:color w:val="000000"/>
          <w:spacing w:val="-6"/>
          <w:sz w:val="24"/>
          <w:szCs w:val="24"/>
        </w:rPr>
        <w:t xml:space="preserve">fifth </w:t>
      </w:r>
      <w:r w:rsidRPr="00AE410B">
        <w:rPr>
          <w:rFonts w:eastAsia="Times New Roman"/>
          <w:color w:val="000000"/>
          <w:spacing w:val="-6"/>
          <w:sz w:val="24"/>
          <w:szCs w:val="24"/>
        </w:rPr>
        <w:t>of these expenses amo</w:t>
      </w:r>
      <w:r w:rsidR="00CA5281" w:rsidRPr="00AE410B">
        <w:rPr>
          <w:rFonts w:eastAsia="Times New Roman"/>
          <w:color w:val="000000"/>
          <w:spacing w:val="-6"/>
          <w:sz w:val="24"/>
          <w:szCs w:val="24"/>
        </w:rPr>
        <w:t>ng</w:t>
      </w:r>
      <w:r w:rsidRPr="00AE410B">
        <w:rPr>
          <w:rFonts w:eastAsia="Times New Roman"/>
          <w:color w:val="000000"/>
          <w:spacing w:val="-6"/>
          <w:sz w:val="24"/>
          <w:szCs w:val="24"/>
        </w:rPr>
        <w:t xml:space="preserve"> the </w:t>
      </w:r>
      <w:r w:rsidR="009F5F32" w:rsidRPr="00AE410B">
        <w:rPr>
          <w:rFonts w:eastAsia="Times New Roman"/>
          <w:color w:val="000000"/>
          <w:spacing w:val="-6"/>
          <w:sz w:val="24"/>
          <w:szCs w:val="24"/>
        </w:rPr>
        <w:t>five</w:t>
      </w:r>
      <w:r w:rsidRPr="00AE410B">
        <w:rPr>
          <w:rFonts w:eastAsia="Times New Roman"/>
          <w:color w:val="000000"/>
          <w:spacing w:val="-6"/>
          <w:sz w:val="24"/>
          <w:szCs w:val="24"/>
        </w:rPr>
        <w:t xml:space="preserve"> regulated utilities: Guam Power Authority, Guam Waterworks Authority</w:t>
      </w:r>
      <w:r w:rsidR="00647814" w:rsidRPr="00AE410B">
        <w:rPr>
          <w:rFonts w:eastAsia="Times New Roman"/>
          <w:color w:val="000000"/>
          <w:spacing w:val="-6"/>
          <w:sz w:val="24"/>
          <w:szCs w:val="24"/>
        </w:rPr>
        <w:t xml:space="preserve">, </w:t>
      </w:r>
      <w:r w:rsidR="009F5F32" w:rsidRPr="00AE410B">
        <w:rPr>
          <w:rFonts w:eastAsia="Times New Roman"/>
          <w:color w:val="000000"/>
          <w:spacing w:val="-6"/>
          <w:sz w:val="24"/>
          <w:szCs w:val="24"/>
        </w:rPr>
        <w:t xml:space="preserve">GTA/ Other </w:t>
      </w:r>
      <w:r w:rsidR="00647814" w:rsidRPr="00AE410B">
        <w:rPr>
          <w:rFonts w:eastAsia="Times New Roman"/>
          <w:color w:val="000000"/>
          <w:spacing w:val="-6"/>
          <w:sz w:val="24"/>
          <w:szCs w:val="24"/>
        </w:rPr>
        <w:t>Telecom Companies,</w:t>
      </w:r>
      <w:r w:rsidRPr="00AE410B">
        <w:rPr>
          <w:rFonts w:eastAsia="Times New Roman"/>
          <w:color w:val="000000"/>
          <w:spacing w:val="-6"/>
          <w:sz w:val="24"/>
          <w:szCs w:val="24"/>
        </w:rPr>
        <w:t xml:space="preserve"> </w:t>
      </w:r>
      <w:r w:rsidR="00647814" w:rsidRPr="00AE410B">
        <w:rPr>
          <w:rFonts w:eastAsia="Times New Roman"/>
          <w:color w:val="000000"/>
          <w:spacing w:val="-6"/>
          <w:sz w:val="24"/>
          <w:szCs w:val="24"/>
        </w:rPr>
        <w:t xml:space="preserve">Port Authority of Guam, </w:t>
      </w:r>
      <w:r w:rsidR="009F5F32" w:rsidRPr="00AE410B">
        <w:rPr>
          <w:rFonts w:eastAsia="Times New Roman"/>
          <w:color w:val="000000"/>
          <w:spacing w:val="-6"/>
          <w:sz w:val="24"/>
          <w:szCs w:val="24"/>
        </w:rPr>
        <w:t xml:space="preserve">and </w:t>
      </w:r>
      <w:r w:rsidR="00647814" w:rsidRPr="00AE410B">
        <w:rPr>
          <w:rFonts w:eastAsia="Times New Roman"/>
          <w:color w:val="000000"/>
          <w:spacing w:val="-6"/>
          <w:sz w:val="24"/>
          <w:szCs w:val="24"/>
        </w:rPr>
        <w:t>Guam Solid Waste Authority</w:t>
      </w:r>
      <w:r w:rsidRPr="00AE410B">
        <w:rPr>
          <w:rFonts w:eastAsia="Times New Roman"/>
          <w:color w:val="000000"/>
          <w:spacing w:val="-6"/>
          <w:sz w:val="24"/>
          <w:szCs w:val="24"/>
        </w:rPr>
        <w:t>. The one-</w:t>
      </w:r>
      <w:r w:rsidR="009F5F32" w:rsidRPr="00AE410B">
        <w:rPr>
          <w:rFonts w:eastAsia="Times New Roman"/>
          <w:color w:val="000000"/>
          <w:spacing w:val="-6"/>
          <w:sz w:val="24"/>
          <w:szCs w:val="24"/>
        </w:rPr>
        <w:t xml:space="preserve">fifth </w:t>
      </w:r>
      <w:r w:rsidRPr="00AE410B">
        <w:rPr>
          <w:rFonts w:eastAsia="Times New Roman"/>
          <w:color w:val="000000"/>
          <w:spacing w:val="-6"/>
          <w:sz w:val="24"/>
          <w:szCs w:val="24"/>
        </w:rPr>
        <w:t xml:space="preserve">assessment charged to GTA </w:t>
      </w:r>
      <w:r w:rsidR="009F5F32" w:rsidRPr="00AE410B">
        <w:rPr>
          <w:rFonts w:eastAsia="Times New Roman"/>
          <w:color w:val="000000"/>
          <w:spacing w:val="-6"/>
          <w:sz w:val="24"/>
          <w:szCs w:val="24"/>
        </w:rPr>
        <w:t>and the Other Telecom Companies</w:t>
      </w:r>
      <w:r w:rsidR="00122EE1" w:rsidRPr="00AE410B">
        <w:rPr>
          <w:rFonts w:eastAsia="Times New Roman"/>
          <w:color w:val="000000"/>
          <w:spacing w:val="-6"/>
          <w:sz w:val="24"/>
          <w:szCs w:val="24"/>
        </w:rPr>
        <w:t xml:space="preserve"> </w:t>
      </w:r>
      <w:r w:rsidRPr="00AE410B">
        <w:rPr>
          <w:rFonts w:eastAsia="Times New Roman"/>
          <w:color w:val="000000"/>
          <w:spacing w:val="-6"/>
          <w:sz w:val="24"/>
          <w:szCs w:val="24"/>
        </w:rPr>
        <w:t xml:space="preserve">shall now be borne by </w:t>
      </w:r>
      <w:r w:rsidR="009F5F32" w:rsidRPr="00AE410B">
        <w:rPr>
          <w:rFonts w:eastAsia="Times New Roman"/>
          <w:color w:val="000000"/>
          <w:spacing w:val="-6"/>
          <w:sz w:val="24"/>
          <w:szCs w:val="24"/>
        </w:rPr>
        <w:t xml:space="preserve">the </w:t>
      </w:r>
      <w:r w:rsidRPr="00AE410B">
        <w:rPr>
          <w:rFonts w:eastAsia="Times New Roman"/>
          <w:color w:val="000000"/>
          <w:spacing w:val="-6"/>
          <w:sz w:val="24"/>
          <w:szCs w:val="24"/>
        </w:rPr>
        <w:t>carriers and shall be allocated, commencing FY</w:t>
      </w:r>
      <w:r w:rsidR="009F5F32" w:rsidRPr="00AE410B">
        <w:rPr>
          <w:rFonts w:eastAsia="Times New Roman"/>
          <w:color w:val="000000"/>
          <w:spacing w:val="-6"/>
          <w:sz w:val="24"/>
          <w:szCs w:val="24"/>
        </w:rPr>
        <w:t>18</w:t>
      </w:r>
      <w:r w:rsidRPr="00AE410B">
        <w:rPr>
          <w:rFonts w:eastAsia="Times New Roman"/>
          <w:color w:val="000000"/>
          <w:spacing w:val="-6"/>
          <w:sz w:val="24"/>
          <w:szCs w:val="24"/>
        </w:rPr>
        <w:t>, in the manner described in section 2[a] below.</w:t>
      </w:r>
    </w:p>
    <w:p w14:paraId="401007CE" w14:textId="77777777" w:rsidR="003263F1" w:rsidRPr="00AE410B" w:rsidRDefault="003263F1" w:rsidP="00AE410B">
      <w:pPr>
        <w:tabs>
          <w:tab w:val="left" w:pos="720"/>
          <w:tab w:val="left" w:pos="1800"/>
        </w:tabs>
        <w:ind w:left="1800"/>
        <w:textAlignment w:val="baseline"/>
        <w:rPr>
          <w:rFonts w:eastAsia="Times New Roman"/>
          <w:color w:val="000000"/>
          <w:spacing w:val="-6"/>
          <w:sz w:val="24"/>
          <w:szCs w:val="24"/>
        </w:rPr>
      </w:pPr>
    </w:p>
    <w:p w14:paraId="2C7F9CE6" w14:textId="4DC56B61" w:rsidR="00133B0C" w:rsidRPr="00AE410B" w:rsidRDefault="002F4508" w:rsidP="00133B0C">
      <w:pPr>
        <w:pStyle w:val="ListParagraph"/>
        <w:numPr>
          <w:ilvl w:val="0"/>
          <w:numId w:val="2"/>
        </w:numPr>
        <w:tabs>
          <w:tab w:val="left" w:pos="1800"/>
        </w:tabs>
        <w:ind w:left="1800" w:hanging="720"/>
        <w:textAlignment w:val="baseline"/>
        <w:rPr>
          <w:sz w:val="24"/>
          <w:szCs w:val="24"/>
        </w:rPr>
      </w:pPr>
      <w:r w:rsidRPr="00AE410B">
        <w:rPr>
          <w:rFonts w:eastAsia="Times New Roman"/>
          <w:color w:val="000000"/>
          <w:spacing w:val="-4"/>
          <w:sz w:val="24"/>
          <w:szCs w:val="24"/>
        </w:rPr>
        <w:t>From time to time, PUC will undertake regulatory activities, which in its judgment, are of material interest to some or all of the carriers, such as the crafting of the rules authorized by 12 GCA 12</w:t>
      </w:r>
      <w:r w:rsidR="00997082" w:rsidRPr="00AE410B">
        <w:rPr>
          <w:rFonts w:eastAsia="Times New Roman"/>
          <w:color w:val="000000"/>
          <w:spacing w:val="-4"/>
          <w:sz w:val="24"/>
          <w:szCs w:val="24"/>
        </w:rPr>
        <w:t>2</w:t>
      </w:r>
      <w:r w:rsidRPr="00AE410B">
        <w:rPr>
          <w:rFonts w:eastAsia="Times New Roman"/>
          <w:color w:val="000000"/>
          <w:spacing w:val="-4"/>
          <w:sz w:val="24"/>
          <w:szCs w:val="24"/>
        </w:rPr>
        <w:t>04. Regulatory expenses</w:t>
      </w:r>
      <w:r w:rsidR="004972E8">
        <w:rPr>
          <w:rStyle w:val="FootnoteReference"/>
          <w:rFonts w:eastAsia="Times New Roman"/>
          <w:color w:val="000000"/>
          <w:spacing w:val="-4"/>
          <w:sz w:val="24"/>
          <w:szCs w:val="24"/>
        </w:rPr>
        <w:footnoteReference w:id="2"/>
      </w:r>
      <w:r w:rsidRPr="00AE410B">
        <w:rPr>
          <w:rFonts w:eastAsia="Times New Roman"/>
          <w:color w:val="000000"/>
          <w:spacing w:val="-4"/>
          <w:sz w:val="24"/>
          <w:szCs w:val="24"/>
        </w:rPr>
        <w:t xml:space="preserve"> in these proceedings will be allocated among the carriers in the manner described in section 2</w:t>
      </w:r>
      <w:r w:rsidR="0012664A" w:rsidRPr="00AE410B">
        <w:rPr>
          <w:rFonts w:eastAsia="Times New Roman"/>
          <w:color w:val="000000"/>
          <w:spacing w:val="-4"/>
          <w:sz w:val="24"/>
          <w:szCs w:val="24"/>
        </w:rPr>
        <w:t>.</w:t>
      </w:r>
    </w:p>
    <w:p w14:paraId="6A2FB5C4" w14:textId="77777777" w:rsidR="00E50C02" w:rsidRPr="00AE410B" w:rsidRDefault="00E50C02" w:rsidP="00AE410B">
      <w:pPr>
        <w:pStyle w:val="ListParagraph"/>
        <w:tabs>
          <w:tab w:val="left" w:pos="720"/>
          <w:tab w:val="left" w:pos="1800"/>
        </w:tabs>
        <w:ind w:left="1800"/>
        <w:textAlignment w:val="baseline"/>
        <w:rPr>
          <w:sz w:val="24"/>
          <w:szCs w:val="24"/>
        </w:rPr>
      </w:pPr>
    </w:p>
    <w:p w14:paraId="36B2F049" w14:textId="5ADCBF64" w:rsidR="00322D67" w:rsidRPr="00AE410B" w:rsidRDefault="00E50C02" w:rsidP="00AE410B">
      <w:pPr>
        <w:pStyle w:val="ListParagraph"/>
        <w:numPr>
          <w:ilvl w:val="0"/>
          <w:numId w:val="2"/>
        </w:numPr>
        <w:tabs>
          <w:tab w:val="left" w:pos="1800"/>
        </w:tabs>
        <w:spacing w:before="41" w:line="295" w:lineRule="exact"/>
        <w:ind w:left="1800" w:right="72" w:hanging="720"/>
        <w:textAlignment w:val="baseline"/>
        <w:rPr>
          <w:rFonts w:eastAsia="Garamond"/>
          <w:color w:val="000000"/>
          <w:spacing w:val="-7"/>
          <w:sz w:val="24"/>
          <w:szCs w:val="24"/>
        </w:rPr>
      </w:pPr>
      <w:r w:rsidRPr="00E75734">
        <w:rPr>
          <w:rFonts w:eastAsia="Garamond"/>
          <w:color w:val="000000"/>
          <w:spacing w:val="-7"/>
          <w:sz w:val="24"/>
          <w:szCs w:val="24"/>
        </w:rPr>
        <w:lastRenderedPageBreak/>
        <w:t>From time to time, PUC will conduct regulatory proceedings, including dispute resolution under Rule 4 of the Interconnection Implementation Rules, which involve one or more carriers as parties. PUC's regulatory expenses</w:t>
      </w:r>
      <w:r w:rsidRPr="00B7548D">
        <w:rPr>
          <w:rFonts w:eastAsia="Garamond"/>
          <w:color w:val="000000"/>
          <w:spacing w:val="-7"/>
          <w:sz w:val="24"/>
          <w:szCs w:val="24"/>
        </w:rPr>
        <w:t xml:space="preserve"> in such proceedings shall be allocated against such party or parties as the Commission deems appropriate, or as otherwise provided in 12 GCA 12207(d).</w:t>
      </w:r>
      <w:r w:rsidR="0051129D" w:rsidRPr="00AE410B">
        <w:rPr>
          <w:rFonts w:ascii="Garamond" w:eastAsia="Garamond" w:hAnsi="Garamond"/>
          <w:color w:val="000000"/>
          <w:spacing w:val="-7"/>
          <w:sz w:val="24"/>
          <w:szCs w:val="24"/>
        </w:rPr>
        <w:t xml:space="preserve">  </w:t>
      </w:r>
      <w:r w:rsidR="00B62F98" w:rsidRPr="00AE410B">
        <w:rPr>
          <w:rFonts w:ascii="Garamond" w:eastAsia="Garamond" w:hAnsi="Garamond"/>
          <w:color w:val="000000"/>
          <w:spacing w:val="-7"/>
          <w:sz w:val="24"/>
          <w:szCs w:val="24"/>
        </w:rPr>
        <w:tab/>
      </w:r>
    </w:p>
    <w:p w14:paraId="09B8DF80" w14:textId="485042DB" w:rsidR="00322D67" w:rsidRDefault="002F4508">
      <w:pPr>
        <w:spacing w:before="346" w:line="295" w:lineRule="exact"/>
        <w:textAlignment w:val="baseline"/>
        <w:rPr>
          <w:rFonts w:eastAsia="Garamond"/>
          <w:color w:val="000000"/>
          <w:spacing w:val="-5"/>
          <w:sz w:val="24"/>
          <w:szCs w:val="24"/>
        </w:rPr>
      </w:pPr>
      <w:r w:rsidRPr="00AE410B">
        <w:rPr>
          <w:rFonts w:eastAsia="Garamond"/>
          <w:color w:val="000000"/>
          <w:spacing w:val="-5"/>
          <w:sz w:val="24"/>
          <w:szCs w:val="24"/>
        </w:rPr>
        <w:t xml:space="preserve">2. Allocation of </w:t>
      </w:r>
      <w:r w:rsidR="00654659" w:rsidRPr="00AE410B">
        <w:rPr>
          <w:rFonts w:eastAsia="Garamond"/>
          <w:color w:val="000000"/>
          <w:spacing w:val="-5"/>
          <w:sz w:val="24"/>
          <w:szCs w:val="24"/>
        </w:rPr>
        <w:t xml:space="preserve">Administrative and </w:t>
      </w:r>
      <w:r w:rsidRPr="00AE410B">
        <w:rPr>
          <w:rFonts w:eastAsia="Garamond"/>
          <w:color w:val="000000"/>
          <w:spacing w:val="-5"/>
          <w:sz w:val="24"/>
          <w:szCs w:val="24"/>
        </w:rPr>
        <w:t>Regulatory Expenses.</w:t>
      </w:r>
    </w:p>
    <w:p w14:paraId="4A2198CF" w14:textId="77777777" w:rsidR="00B7548D" w:rsidRPr="00AE410B" w:rsidRDefault="00B7548D">
      <w:pPr>
        <w:spacing w:before="346" w:line="295" w:lineRule="exact"/>
        <w:textAlignment w:val="baseline"/>
        <w:rPr>
          <w:rFonts w:eastAsia="Garamond"/>
          <w:color w:val="000000"/>
          <w:spacing w:val="-5"/>
          <w:sz w:val="24"/>
          <w:szCs w:val="24"/>
        </w:rPr>
      </w:pPr>
    </w:p>
    <w:p w14:paraId="330C6965" w14:textId="7D3CE8EC" w:rsidR="0045292C" w:rsidRDefault="0045292C" w:rsidP="00AE410B">
      <w:pPr>
        <w:numPr>
          <w:ilvl w:val="0"/>
          <w:numId w:val="3"/>
        </w:numPr>
        <w:tabs>
          <w:tab w:val="clear" w:pos="216"/>
          <w:tab w:val="left" w:pos="648"/>
        </w:tabs>
        <w:ind w:left="720" w:right="72" w:hanging="360"/>
        <w:textAlignment w:val="baseline"/>
        <w:rPr>
          <w:rFonts w:eastAsia="Garamond"/>
          <w:color w:val="000000"/>
          <w:spacing w:val="-9"/>
          <w:sz w:val="24"/>
          <w:szCs w:val="24"/>
        </w:rPr>
      </w:pPr>
      <w:r>
        <w:rPr>
          <w:rFonts w:eastAsia="Garamond"/>
          <w:color w:val="000000"/>
          <w:spacing w:val="-9"/>
          <w:sz w:val="24"/>
          <w:szCs w:val="24"/>
        </w:rPr>
        <w:t xml:space="preserve"> </w:t>
      </w:r>
      <w:r w:rsidR="002F4508" w:rsidRPr="00AE410B">
        <w:rPr>
          <w:rFonts w:eastAsia="Garamond"/>
          <w:color w:val="000000"/>
          <w:spacing w:val="-9"/>
          <w:sz w:val="24"/>
          <w:szCs w:val="24"/>
        </w:rPr>
        <w:t xml:space="preserve">The one </w:t>
      </w:r>
      <w:r w:rsidR="0051129D" w:rsidRPr="00AE410B">
        <w:rPr>
          <w:rFonts w:eastAsia="Garamond"/>
          <w:color w:val="000000"/>
          <w:spacing w:val="-9"/>
          <w:sz w:val="24"/>
          <w:szCs w:val="24"/>
        </w:rPr>
        <w:t xml:space="preserve">fifth </w:t>
      </w:r>
      <w:r w:rsidR="002F4508" w:rsidRPr="00AE410B">
        <w:rPr>
          <w:rFonts w:eastAsia="Garamond"/>
          <w:color w:val="000000"/>
          <w:spacing w:val="-9"/>
          <w:sz w:val="24"/>
          <w:szCs w:val="24"/>
        </w:rPr>
        <w:t xml:space="preserve">share of PUC's annual administrative expenses </w:t>
      </w:r>
      <w:r w:rsidR="002F4508" w:rsidRPr="00AE410B">
        <w:rPr>
          <w:rFonts w:eastAsia="Garamond"/>
          <w:i/>
          <w:color w:val="000000"/>
          <w:spacing w:val="-9"/>
          <w:sz w:val="24"/>
          <w:szCs w:val="24"/>
        </w:rPr>
        <w:t xml:space="preserve">("annual expenses"], </w:t>
      </w:r>
      <w:r w:rsidR="002F4508" w:rsidRPr="00AE410B">
        <w:rPr>
          <w:rFonts w:eastAsia="Garamond"/>
          <w:color w:val="000000"/>
          <w:spacing w:val="-9"/>
          <w:sz w:val="24"/>
          <w:szCs w:val="24"/>
        </w:rPr>
        <w:t>which will be assessed on carriers pursuant to section 1 [b][i] above, shall be the responsibility of TeleGuam Holdings LLC, or its successor, as the dominant carrier; provided, however, that they shall be shared with all other carriers, which were assessed during the preceding fiscal year under section</w:t>
      </w:r>
      <w:r>
        <w:rPr>
          <w:rFonts w:eastAsia="Garamond"/>
          <w:color w:val="000000"/>
          <w:spacing w:val="-9"/>
          <w:sz w:val="24"/>
          <w:szCs w:val="24"/>
        </w:rPr>
        <w:t>s</w:t>
      </w:r>
      <w:r w:rsidR="002F4508" w:rsidRPr="00AE410B">
        <w:rPr>
          <w:rFonts w:eastAsia="Garamond"/>
          <w:color w:val="000000"/>
          <w:spacing w:val="-9"/>
          <w:sz w:val="24"/>
          <w:szCs w:val="24"/>
        </w:rPr>
        <w:t xml:space="preserve"> 1 [b][ii] </w:t>
      </w:r>
      <w:r>
        <w:rPr>
          <w:rFonts w:eastAsia="Garamond"/>
          <w:color w:val="000000"/>
          <w:spacing w:val="-9"/>
          <w:sz w:val="24"/>
          <w:szCs w:val="24"/>
        </w:rPr>
        <w:t xml:space="preserve">or [iii]. </w:t>
      </w:r>
    </w:p>
    <w:p w14:paraId="31366D3C" w14:textId="77777777" w:rsidR="0045292C" w:rsidRDefault="0045292C" w:rsidP="0045292C">
      <w:pPr>
        <w:tabs>
          <w:tab w:val="left" w:pos="216"/>
          <w:tab w:val="left" w:pos="648"/>
        </w:tabs>
        <w:ind w:left="720" w:right="72"/>
        <w:textAlignment w:val="baseline"/>
        <w:rPr>
          <w:rFonts w:eastAsia="Garamond"/>
          <w:color w:val="000000"/>
          <w:spacing w:val="-9"/>
          <w:sz w:val="24"/>
          <w:szCs w:val="24"/>
        </w:rPr>
      </w:pPr>
    </w:p>
    <w:p w14:paraId="72A6E7D5" w14:textId="24C099CD" w:rsidR="00610C36" w:rsidRPr="00AE410B" w:rsidRDefault="0045292C" w:rsidP="00AE410B">
      <w:pPr>
        <w:numPr>
          <w:ilvl w:val="0"/>
          <w:numId w:val="3"/>
        </w:numPr>
        <w:tabs>
          <w:tab w:val="clear" w:pos="216"/>
          <w:tab w:val="left" w:pos="648"/>
        </w:tabs>
        <w:ind w:left="720" w:right="72" w:hanging="360"/>
        <w:textAlignment w:val="baseline"/>
        <w:rPr>
          <w:rFonts w:eastAsia="Garamond"/>
          <w:color w:val="000000"/>
          <w:spacing w:val="-9"/>
          <w:sz w:val="24"/>
          <w:szCs w:val="24"/>
        </w:rPr>
      </w:pPr>
      <w:r>
        <w:rPr>
          <w:rFonts w:eastAsia="Garamond"/>
          <w:color w:val="000000"/>
          <w:spacing w:val="-9"/>
          <w:sz w:val="24"/>
          <w:szCs w:val="24"/>
        </w:rPr>
        <w:t xml:space="preserve"> </w:t>
      </w:r>
      <w:r w:rsidR="00B62F98" w:rsidRPr="00AE410B">
        <w:rPr>
          <w:rFonts w:eastAsia="Garamond"/>
          <w:color w:val="000000"/>
          <w:spacing w:val="-9"/>
          <w:sz w:val="24"/>
          <w:szCs w:val="24"/>
        </w:rPr>
        <w:t xml:space="preserve">Each fiscal year there shall be a “baseline assessment” against the carriers for the PUC annual administrative expenses.  </w:t>
      </w:r>
      <w:r w:rsidR="00F823E7" w:rsidRPr="00AE410B">
        <w:rPr>
          <w:rFonts w:eastAsia="Garamond"/>
          <w:color w:val="000000"/>
          <w:spacing w:val="-9"/>
          <w:sz w:val="24"/>
          <w:szCs w:val="24"/>
        </w:rPr>
        <w:t xml:space="preserve">The total baseline assessment shall be $45,000.00 per fiscal year.  The baseline assessment shall be apportioned </w:t>
      </w:r>
      <w:r w:rsidR="00610C36" w:rsidRPr="00AE410B">
        <w:rPr>
          <w:rFonts w:eastAsia="Garamond"/>
          <w:color w:val="000000"/>
          <w:spacing w:val="-9"/>
          <w:sz w:val="24"/>
          <w:szCs w:val="24"/>
        </w:rPr>
        <w:t>among</w:t>
      </w:r>
      <w:r w:rsidR="00F823E7" w:rsidRPr="00AE410B">
        <w:rPr>
          <w:rFonts w:eastAsia="Garamond"/>
          <w:color w:val="000000"/>
          <w:spacing w:val="-9"/>
          <w:sz w:val="24"/>
          <w:szCs w:val="24"/>
        </w:rPr>
        <w:t xml:space="preserve"> the carriers as follows:</w:t>
      </w:r>
    </w:p>
    <w:p w14:paraId="05BD1E4F" w14:textId="77777777" w:rsidR="00CD1B9A" w:rsidRDefault="00CD1B9A" w:rsidP="00AE410B">
      <w:pPr>
        <w:tabs>
          <w:tab w:val="left" w:pos="216"/>
          <w:tab w:val="left" w:pos="648"/>
        </w:tabs>
        <w:spacing w:before="276" w:line="295" w:lineRule="exact"/>
        <w:ind w:left="792" w:right="72"/>
        <w:textAlignment w:val="baseline"/>
        <w:rPr>
          <w:rFonts w:ascii="Garamond" w:eastAsia="Garamond" w:hAnsi="Garamond"/>
          <w:b/>
          <w:color w:val="000000"/>
          <w:spacing w:val="-9"/>
          <w:sz w:val="27"/>
        </w:rPr>
      </w:pPr>
    </w:p>
    <w:tbl>
      <w:tblPr>
        <w:tblW w:w="0" w:type="auto"/>
        <w:tblInd w:w="10" w:type="dxa"/>
        <w:tblLayout w:type="fixed"/>
        <w:tblCellMar>
          <w:left w:w="0" w:type="dxa"/>
          <w:right w:w="0" w:type="dxa"/>
        </w:tblCellMar>
        <w:tblLook w:val="04A0" w:firstRow="1" w:lastRow="0" w:firstColumn="1" w:lastColumn="0" w:noHBand="0" w:noVBand="1"/>
      </w:tblPr>
      <w:tblGrid>
        <w:gridCol w:w="523"/>
        <w:gridCol w:w="53"/>
        <w:gridCol w:w="72"/>
        <w:gridCol w:w="624"/>
        <w:gridCol w:w="1699"/>
        <w:gridCol w:w="1661"/>
        <w:gridCol w:w="1675"/>
        <w:gridCol w:w="2448"/>
      </w:tblGrid>
      <w:tr w:rsidR="00CD1B9A" w14:paraId="0DB305B2" w14:textId="77777777" w:rsidTr="00CD1B9A">
        <w:trPr>
          <w:trHeight w:hRule="exact" w:val="480"/>
        </w:trPr>
        <w:tc>
          <w:tcPr>
            <w:tcW w:w="1272" w:type="dxa"/>
            <w:gridSpan w:val="4"/>
            <w:tcBorders>
              <w:top w:val="single" w:sz="8" w:space="0" w:color="000000"/>
              <w:left w:val="single" w:sz="8" w:space="0" w:color="000000"/>
              <w:bottom w:val="single" w:sz="8" w:space="0" w:color="000000"/>
              <w:right w:val="single" w:sz="8" w:space="0" w:color="000000"/>
            </w:tcBorders>
          </w:tcPr>
          <w:p w14:paraId="57D40C02" w14:textId="77777777" w:rsidR="00CD1B9A" w:rsidRPr="00AE410B" w:rsidRDefault="00CD1B9A" w:rsidP="00AE410B">
            <w:pPr>
              <w:tabs>
                <w:tab w:val="left" w:pos="216"/>
              </w:tabs>
              <w:textAlignment w:val="baseline"/>
              <w:rPr>
                <w:rFonts w:eastAsia="Times New Roman"/>
                <w:color w:val="000000"/>
                <w:sz w:val="24"/>
              </w:rPr>
            </w:pPr>
            <w:r w:rsidRPr="00AE410B">
              <w:rPr>
                <w:rFonts w:eastAsia="Times New Roman"/>
                <w:color w:val="000000"/>
                <w:sz w:val="24"/>
              </w:rPr>
              <w:tab/>
            </w:r>
          </w:p>
        </w:tc>
        <w:tc>
          <w:tcPr>
            <w:tcW w:w="1699" w:type="dxa"/>
            <w:tcBorders>
              <w:top w:val="single" w:sz="8" w:space="0" w:color="000000"/>
              <w:left w:val="single" w:sz="8" w:space="0" w:color="000000"/>
              <w:bottom w:val="single" w:sz="8" w:space="0" w:color="000000"/>
              <w:right w:val="single" w:sz="8" w:space="0" w:color="000000"/>
            </w:tcBorders>
          </w:tcPr>
          <w:p w14:paraId="7CDD8795" w14:textId="77777777" w:rsidR="00CD1B9A" w:rsidRDefault="00CD1B9A" w:rsidP="00CD1B9A">
            <w:pPr>
              <w:textAlignment w:val="baseline"/>
              <w:rPr>
                <w:rFonts w:eastAsia="Times New Roman"/>
                <w:color w:val="000000"/>
                <w:sz w:val="24"/>
              </w:rPr>
            </w:pPr>
            <w:r>
              <w:rPr>
                <w:rFonts w:eastAsia="Times New Roman"/>
                <w:color w:val="000000"/>
                <w:sz w:val="24"/>
              </w:rPr>
              <w:t xml:space="preserve"> </w:t>
            </w:r>
          </w:p>
        </w:tc>
        <w:tc>
          <w:tcPr>
            <w:tcW w:w="1661" w:type="dxa"/>
            <w:tcBorders>
              <w:top w:val="single" w:sz="8" w:space="0" w:color="000000"/>
              <w:left w:val="single" w:sz="8" w:space="0" w:color="000000"/>
              <w:bottom w:val="single" w:sz="8" w:space="0" w:color="000000"/>
              <w:right w:val="single" w:sz="8" w:space="0" w:color="000000"/>
            </w:tcBorders>
          </w:tcPr>
          <w:p w14:paraId="59A75DAE" w14:textId="77777777" w:rsidR="00CD1B9A" w:rsidRDefault="00CD1B9A" w:rsidP="00CD1B9A">
            <w:pPr>
              <w:textAlignment w:val="baseline"/>
              <w:rPr>
                <w:rFonts w:eastAsia="Times New Roman"/>
                <w:color w:val="000000"/>
                <w:sz w:val="24"/>
              </w:rPr>
            </w:pPr>
            <w:r>
              <w:rPr>
                <w:rFonts w:eastAsia="Times New Roman"/>
                <w:color w:val="000000"/>
                <w:sz w:val="24"/>
              </w:rPr>
              <w:t xml:space="preserve"> </w:t>
            </w:r>
          </w:p>
        </w:tc>
        <w:tc>
          <w:tcPr>
            <w:tcW w:w="1675" w:type="dxa"/>
            <w:tcBorders>
              <w:top w:val="single" w:sz="8" w:space="0" w:color="000000"/>
              <w:left w:val="single" w:sz="8" w:space="0" w:color="000000"/>
              <w:bottom w:val="single" w:sz="8" w:space="0" w:color="000000"/>
              <w:right w:val="single" w:sz="8" w:space="0" w:color="000000"/>
            </w:tcBorders>
          </w:tcPr>
          <w:p w14:paraId="04C1D47A" w14:textId="77777777" w:rsidR="00CD1B9A" w:rsidRDefault="00CD1B9A" w:rsidP="00CD1B9A">
            <w:pPr>
              <w:textAlignment w:val="baseline"/>
              <w:rPr>
                <w:rFonts w:eastAsia="Times New Roman"/>
                <w:color w:val="000000"/>
                <w:sz w:val="24"/>
              </w:rPr>
            </w:pPr>
            <w:r>
              <w:rPr>
                <w:rFonts w:eastAsia="Times New Roman"/>
                <w:color w:val="000000"/>
                <w:sz w:val="24"/>
              </w:rPr>
              <w:t xml:space="preserve"> </w:t>
            </w:r>
          </w:p>
        </w:tc>
        <w:tc>
          <w:tcPr>
            <w:tcW w:w="2448" w:type="dxa"/>
            <w:tcBorders>
              <w:top w:val="single" w:sz="8" w:space="0" w:color="000000"/>
              <w:left w:val="single" w:sz="8" w:space="0" w:color="000000"/>
              <w:bottom w:val="single" w:sz="8" w:space="0" w:color="000000"/>
              <w:right w:val="single" w:sz="8" w:space="0" w:color="000000"/>
            </w:tcBorders>
          </w:tcPr>
          <w:p w14:paraId="1B00EDE4" w14:textId="77777777" w:rsidR="00CD1B9A" w:rsidRDefault="00CD1B9A" w:rsidP="00CD1B9A">
            <w:pPr>
              <w:spacing w:after="9" w:line="231" w:lineRule="exact"/>
              <w:jc w:val="center"/>
              <w:textAlignment w:val="baseline"/>
              <w:rPr>
                <w:rFonts w:eastAsia="Times New Roman"/>
                <w:color w:val="000000"/>
                <w:sz w:val="20"/>
              </w:rPr>
            </w:pPr>
            <w:r>
              <w:rPr>
                <w:rFonts w:eastAsia="Times New Roman"/>
                <w:color w:val="000000"/>
                <w:sz w:val="20"/>
              </w:rPr>
              <w:t xml:space="preserve">TOTAL BASELINE </w:t>
            </w:r>
            <w:r>
              <w:rPr>
                <w:rFonts w:eastAsia="Times New Roman"/>
                <w:color w:val="000000"/>
                <w:sz w:val="20"/>
              </w:rPr>
              <w:br/>
              <w:t>ASSESSMENT</w:t>
            </w:r>
          </w:p>
        </w:tc>
      </w:tr>
      <w:tr w:rsidR="00CD1B9A" w14:paraId="24B13A0B" w14:textId="77777777" w:rsidTr="00CD1B9A">
        <w:trPr>
          <w:trHeight w:hRule="exact" w:val="250"/>
        </w:trPr>
        <w:tc>
          <w:tcPr>
            <w:tcW w:w="576" w:type="dxa"/>
            <w:gridSpan w:val="2"/>
            <w:tcBorders>
              <w:top w:val="single" w:sz="8" w:space="0" w:color="000000"/>
              <w:left w:val="single" w:sz="8" w:space="0" w:color="000000"/>
              <w:bottom w:val="single" w:sz="8" w:space="0" w:color="000000"/>
              <w:right w:val="none" w:sz="0" w:space="0" w:color="000000"/>
            </w:tcBorders>
            <w:vAlign w:val="center"/>
          </w:tcPr>
          <w:p w14:paraId="27EE242E" w14:textId="77777777" w:rsidR="00CD1B9A" w:rsidRDefault="00CD1B9A" w:rsidP="00CD1B9A">
            <w:pPr>
              <w:spacing w:after="13" w:line="213" w:lineRule="exact"/>
              <w:ind w:left="105"/>
              <w:textAlignment w:val="baseline"/>
              <w:rPr>
                <w:rFonts w:eastAsia="Times New Roman"/>
                <w:color w:val="000000"/>
                <w:sz w:val="20"/>
              </w:rPr>
            </w:pPr>
            <w:r>
              <w:rPr>
                <w:rFonts w:eastAsia="Times New Roman"/>
                <w:color w:val="000000"/>
                <w:sz w:val="20"/>
              </w:rPr>
              <w:t>GTA</w:t>
            </w:r>
          </w:p>
        </w:tc>
        <w:tc>
          <w:tcPr>
            <w:tcW w:w="696" w:type="dxa"/>
            <w:gridSpan w:val="2"/>
            <w:tcBorders>
              <w:top w:val="single" w:sz="8" w:space="0" w:color="000000"/>
              <w:left w:val="none" w:sz="0" w:space="0" w:color="000000"/>
              <w:bottom w:val="single" w:sz="8" w:space="0" w:color="000000"/>
              <w:right w:val="single" w:sz="8" w:space="0" w:color="000000"/>
            </w:tcBorders>
          </w:tcPr>
          <w:p w14:paraId="75EEBA1F" w14:textId="77777777" w:rsidR="00CD1B9A" w:rsidRDefault="00CD1B9A" w:rsidP="00CD1B9A">
            <w:pPr>
              <w:textAlignment w:val="baseline"/>
              <w:rPr>
                <w:rFonts w:eastAsia="Times New Roman"/>
                <w:color w:val="000000"/>
                <w:sz w:val="24"/>
              </w:rPr>
            </w:pPr>
            <w:r>
              <w:rPr>
                <w:rFonts w:eastAsia="Times New Roman"/>
                <w:color w:val="000000"/>
                <w:sz w:val="24"/>
              </w:rPr>
              <w:tab/>
            </w:r>
          </w:p>
        </w:tc>
        <w:tc>
          <w:tcPr>
            <w:tcW w:w="1699" w:type="dxa"/>
            <w:tcBorders>
              <w:top w:val="single" w:sz="8" w:space="0" w:color="000000"/>
              <w:left w:val="single" w:sz="8" w:space="0" w:color="000000"/>
              <w:bottom w:val="single" w:sz="8" w:space="0" w:color="000000"/>
              <w:right w:val="single" w:sz="8" w:space="0" w:color="000000"/>
            </w:tcBorders>
            <w:vAlign w:val="center"/>
          </w:tcPr>
          <w:p w14:paraId="6267270E" w14:textId="77777777" w:rsidR="00CD1B9A" w:rsidRDefault="00CD1B9A" w:rsidP="00CD1B9A">
            <w:pPr>
              <w:spacing w:after="16" w:line="213" w:lineRule="exact"/>
              <w:jc w:val="center"/>
              <w:textAlignment w:val="baseline"/>
              <w:rPr>
                <w:rFonts w:eastAsia="Times New Roman"/>
                <w:color w:val="000000"/>
                <w:sz w:val="20"/>
              </w:rPr>
            </w:pPr>
            <w:r>
              <w:rPr>
                <w:rFonts w:eastAsia="Times New Roman"/>
                <w:color w:val="000000"/>
                <w:sz w:val="20"/>
              </w:rPr>
              <w:t>$10,000</w:t>
            </w:r>
          </w:p>
        </w:tc>
        <w:tc>
          <w:tcPr>
            <w:tcW w:w="1661" w:type="dxa"/>
            <w:tcBorders>
              <w:top w:val="single" w:sz="8" w:space="0" w:color="000000"/>
              <w:left w:val="single" w:sz="8" w:space="0" w:color="000000"/>
              <w:bottom w:val="single" w:sz="8" w:space="0" w:color="000000"/>
              <w:right w:val="single" w:sz="8" w:space="0" w:color="000000"/>
            </w:tcBorders>
            <w:vAlign w:val="center"/>
          </w:tcPr>
          <w:p w14:paraId="2A521E3A" w14:textId="77777777" w:rsidR="00CD1B9A" w:rsidRDefault="00CD1B9A" w:rsidP="00CD1B9A">
            <w:pPr>
              <w:spacing w:after="13" w:line="213" w:lineRule="exact"/>
              <w:jc w:val="center"/>
              <w:textAlignment w:val="baseline"/>
              <w:rPr>
                <w:rFonts w:eastAsia="Times New Roman"/>
                <w:color w:val="000000"/>
                <w:sz w:val="20"/>
              </w:rPr>
            </w:pPr>
            <w:r>
              <w:rPr>
                <w:rFonts w:eastAsia="Times New Roman"/>
                <w:color w:val="000000"/>
                <w:sz w:val="20"/>
              </w:rPr>
              <w:t>0</w:t>
            </w:r>
          </w:p>
        </w:tc>
        <w:tc>
          <w:tcPr>
            <w:tcW w:w="1675" w:type="dxa"/>
            <w:tcBorders>
              <w:top w:val="single" w:sz="8" w:space="0" w:color="000000"/>
              <w:left w:val="single" w:sz="8" w:space="0" w:color="000000"/>
              <w:bottom w:val="single" w:sz="8" w:space="0" w:color="000000"/>
              <w:right w:val="single" w:sz="8" w:space="0" w:color="000000"/>
            </w:tcBorders>
            <w:vAlign w:val="center"/>
          </w:tcPr>
          <w:p w14:paraId="2B5E5E41" w14:textId="77777777" w:rsidR="00CD1B9A" w:rsidRDefault="00CD1B9A" w:rsidP="00CD1B9A">
            <w:pPr>
              <w:spacing w:after="13" w:line="213" w:lineRule="exact"/>
              <w:jc w:val="center"/>
              <w:textAlignment w:val="baseline"/>
              <w:rPr>
                <w:rFonts w:eastAsia="Times New Roman"/>
                <w:color w:val="000000"/>
                <w:sz w:val="20"/>
              </w:rPr>
            </w:pPr>
            <w:r>
              <w:rPr>
                <w:rFonts w:eastAsia="Times New Roman"/>
                <w:color w:val="000000"/>
                <w:sz w:val="20"/>
              </w:rPr>
              <w:t>$6000</w:t>
            </w:r>
          </w:p>
        </w:tc>
        <w:tc>
          <w:tcPr>
            <w:tcW w:w="2448" w:type="dxa"/>
            <w:tcBorders>
              <w:top w:val="single" w:sz="8" w:space="0" w:color="000000"/>
              <w:left w:val="single" w:sz="8" w:space="0" w:color="000000"/>
              <w:bottom w:val="single" w:sz="8" w:space="0" w:color="000000"/>
              <w:right w:val="single" w:sz="8" w:space="0" w:color="000000"/>
            </w:tcBorders>
            <w:vAlign w:val="center"/>
          </w:tcPr>
          <w:p w14:paraId="5E52AC84" w14:textId="77777777" w:rsidR="00CD1B9A" w:rsidRDefault="00CD1B9A" w:rsidP="00CD1B9A">
            <w:pPr>
              <w:spacing w:after="8" w:line="213" w:lineRule="exact"/>
              <w:jc w:val="center"/>
              <w:textAlignment w:val="baseline"/>
              <w:rPr>
                <w:rFonts w:eastAsia="Times New Roman"/>
                <w:color w:val="000000"/>
                <w:sz w:val="20"/>
              </w:rPr>
            </w:pPr>
            <w:r>
              <w:rPr>
                <w:rFonts w:eastAsia="Times New Roman"/>
                <w:color w:val="000000"/>
                <w:sz w:val="20"/>
              </w:rPr>
              <w:t>$16,000</w:t>
            </w:r>
          </w:p>
        </w:tc>
      </w:tr>
      <w:tr w:rsidR="00CD1B9A" w14:paraId="7A8B3C45" w14:textId="77777777" w:rsidTr="00CD1B9A">
        <w:trPr>
          <w:trHeight w:hRule="exact" w:val="249"/>
        </w:trPr>
        <w:tc>
          <w:tcPr>
            <w:tcW w:w="523" w:type="dxa"/>
            <w:tcBorders>
              <w:top w:val="single" w:sz="8" w:space="0" w:color="000000"/>
              <w:left w:val="single" w:sz="8" w:space="0" w:color="000000"/>
              <w:bottom w:val="single" w:sz="8" w:space="0" w:color="000000"/>
              <w:right w:val="none" w:sz="0" w:space="0" w:color="000000"/>
            </w:tcBorders>
            <w:vAlign w:val="center"/>
          </w:tcPr>
          <w:p w14:paraId="3E0C75AA" w14:textId="77777777" w:rsidR="00CD1B9A" w:rsidRDefault="00CD1B9A" w:rsidP="00CD1B9A">
            <w:pPr>
              <w:spacing w:after="9" w:line="213" w:lineRule="exact"/>
              <w:ind w:left="105"/>
              <w:textAlignment w:val="baseline"/>
              <w:rPr>
                <w:rFonts w:eastAsia="Times New Roman"/>
                <w:color w:val="000000"/>
                <w:sz w:val="20"/>
              </w:rPr>
            </w:pPr>
            <w:r>
              <w:rPr>
                <w:rFonts w:eastAsia="Times New Roman"/>
                <w:color w:val="000000"/>
                <w:sz w:val="20"/>
              </w:rPr>
              <w:t>PDS</w:t>
            </w:r>
          </w:p>
        </w:tc>
        <w:tc>
          <w:tcPr>
            <w:tcW w:w="749" w:type="dxa"/>
            <w:gridSpan w:val="3"/>
            <w:tcBorders>
              <w:top w:val="single" w:sz="8" w:space="0" w:color="000000"/>
              <w:left w:val="none" w:sz="0" w:space="0" w:color="000000"/>
              <w:bottom w:val="single" w:sz="8" w:space="0" w:color="000000"/>
              <w:right w:val="single" w:sz="8" w:space="0" w:color="000000"/>
            </w:tcBorders>
          </w:tcPr>
          <w:p w14:paraId="7F0AC109" w14:textId="77777777" w:rsidR="00CD1B9A" w:rsidRDefault="00CD1B9A" w:rsidP="00CD1B9A">
            <w:pPr>
              <w:textAlignment w:val="baseline"/>
              <w:rPr>
                <w:rFonts w:eastAsia="Times New Roman"/>
                <w:color w:val="000000"/>
                <w:sz w:val="24"/>
              </w:rPr>
            </w:pPr>
            <w:r>
              <w:rPr>
                <w:rFonts w:eastAsia="Times New Roman"/>
                <w:color w:val="000000"/>
                <w:sz w:val="24"/>
              </w:rPr>
              <w:tab/>
            </w:r>
          </w:p>
        </w:tc>
        <w:tc>
          <w:tcPr>
            <w:tcW w:w="1699" w:type="dxa"/>
            <w:tcBorders>
              <w:top w:val="single" w:sz="8" w:space="0" w:color="000000"/>
              <w:left w:val="single" w:sz="8" w:space="0" w:color="000000"/>
              <w:bottom w:val="single" w:sz="8" w:space="0" w:color="000000"/>
              <w:right w:val="single" w:sz="8" w:space="0" w:color="000000"/>
            </w:tcBorders>
            <w:vAlign w:val="center"/>
          </w:tcPr>
          <w:p w14:paraId="5A9C8502" w14:textId="77777777" w:rsidR="00CD1B9A" w:rsidRDefault="00CD1B9A" w:rsidP="00CD1B9A">
            <w:pPr>
              <w:spacing w:after="9" w:line="213" w:lineRule="exact"/>
              <w:jc w:val="center"/>
              <w:textAlignment w:val="baseline"/>
              <w:rPr>
                <w:rFonts w:eastAsia="Times New Roman"/>
                <w:color w:val="000000"/>
                <w:sz w:val="20"/>
              </w:rPr>
            </w:pPr>
            <w:r>
              <w:rPr>
                <w:rFonts w:eastAsia="Times New Roman"/>
                <w:color w:val="000000"/>
                <w:sz w:val="20"/>
              </w:rPr>
              <w:t>0</w:t>
            </w:r>
          </w:p>
        </w:tc>
        <w:tc>
          <w:tcPr>
            <w:tcW w:w="1661" w:type="dxa"/>
            <w:tcBorders>
              <w:top w:val="single" w:sz="8" w:space="0" w:color="000000"/>
              <w:left w:val="single" w:sz="8" w:space="0" w:color="000000"/>
              <w:bottom w:val="single" w:sz="8" w:space="0" w:color="000000"/>
              <w:right w:val="single" w:sz="8" w:space="0" w:color="000000"/>
            </w:tcBorders>
            <w:vAlign w:val="center"/>
          </w:tcPr>
          <w:p w14:paraId="41A7789D" w14:textId="77777777" w:rsidR="00CD1B9A" w:rsidRDefault="00CD1B9A" w:rsidP="00CD1B9A">
            <w:pPr>
              <w:spacing w:after="9" w:line="213" w:lineRule="exact"/>
              <w:jc w:val="center"/>
              <w:textAlignment w:val="baseline"/>
              <w:rPr>
                <w:rFonts w:eastAsia="Times New Roman"/>
                <w:color w:val="000000"/>
                <w:sz w:val="20"/>
              </w:rPr>
            </w:pPr>
            <w:r>
              <w:rPr>
                <w:rFonts w:eastAsia="Times New Roman"/>
                <w:color w:val="000000"/>
                <w:sz w:val="20"/>
              </w:rPr>
              <w:t>$5000</w:t>
            </w:r>
          </w:p>
        </w:tc>
        <w:tc>
          <w:tcPr>
            <w:tcW w:w="1675" w:type="dxa"/>
            <w:tcBorders>
              <w:top w:val="single" w:sz="8" w:space="0" w:color="000000"/>
              <w:left w:val="single" w:sz="8" w:space="0" w:color="000000"/>
              <w:bottom w:val="single" w:sz="8" w:space="0" w:color="000000"/>
              <w:right w:val="single" w:sz="8" w:space="0" w:color="000000"/>
            </w:tcBorders>
            <w:vAlign w:val="center"/>
          </w:tcPr>
          <w:p w14:paraId="50CB0589" w14:textId="77777777" w:rsidR="00CD1B9A" w:rsidRDefault="00CD1B9A" w:rsidP="00CD1B9A">
            <w:pPr>
              <w:spacing w:after="9" w:line="213" w:lineRule="exact"/>
              <w:jc w:val="center"/>
              <w:textAlignment w:val="baseline"/>
              <w:rPr>
                <w:rFonts w:eastAsia="Times New Roman"/>
                <w:color w:val="000000"/>
                <w:sz w:val="20"/>
              </w:rPr>
            </w:pPr>
            <w:r>
              <w:rPr>
                <w:rFonts w:eastAsia="Times New Roman"/>
                <w:color w:val="000000"/>
                <w:sz w:val="20"/>
              </w:rPr>
              <w:t>0</w:t>
            </w:r>
          </w:p>
        </w:tc>
        <w:tc>
          <w:tcPr>
            <w:tcW w:w="2448" w:type="dxa"/>
            <w:tcBorders>
              <w:top w:val="single" w:sz="8" w:space="0" w:color="000000"/>
              <w:left w:val="single" w:sz="8" w:space="0" w:color="000000"/>
              <w:bottom w:val="single" w:sz="8" w:space="0" w:color="000000"/>
              <w:right w:val="single" w:sz="8" w:space="0" w:color="000000"/>
            </w:tcBorders>
            <w:vAlign w:val="center"/>
          </w:tcPr>
          <w:p w14:paraId="17A04532" w14:textId="77777777" w:rsidR="00CD1B9A" w:rsidRDefault="00CD1B9A" w:rsidP="00CD1B9A">
            <w:pPr>
              <w:spacing w:after="4" w:line="213" w:lineRule="exact"/>
              <w:jc w:val="center"/>
              <w:textAlignment w:val="baseline"/>
              <w:rPr>
                <w:rFonts w:eastAsia="Times New Roman"/>
                <w:color w:val="000000"/>
                <w:sz w:val="20"/>
              </w:rPr>
            </w:pPr>
            <w:r>
              <w:rPr>
                <w:rFonts w:eastAsia="Times New Roman"/>
                <w:color w:val="000000"/>
                <w:sz w:val="20"/>
              </w:rPr>
              <w:t>$5000</w:t>
            </w:r>
          </w:p>
        </w:tc>
      </w:tr>
      <w:tr w:rsidR="00CD1B9A" w14:paraId="5324D91E" w14:textId="77777777" w:rsidTr="00CD1B9A">
        <w:trPr>
          <w:trHeight w:hRule="exact" w:val="250"/>
        </w:trPr>
        <w:tc>
          <w:tcPr>
            <w:tcW w:w="648" w:type="dxa"/>
            <w:gridSpan w:val="3"/>
            <w:tcBorders>
              <w:top w:val="single" w:sz="8" w:space="0" w:color="000000"/>
              <w:left w:val="single" w:sz="8" w:space="0" w:color="000000"/>
              <w:bottom w:val="single" w:sz="8" w:space="0" w:color="000000"/>
              <w:right w:val="none" w:sz="0" w:space="0" w:color="000000"/>
            </w:tcBorders>
            <w:vAlign w:val="center"/>
          </w:tcPr>
          <w:p w14:paraId="4A940A3E" w14:textId="77777777" w:rsidR="00CD1B9A" w:rsidRDefault="00CD1B9A" w:rsidP="00CD1B9A">
            <w:pPr>
              <w:spacing w:after="17" w:line="213" w:lineRule="exact"/>
              <w:ind w:left="105"/>
              <w:textAlignment w:val="baseline"/>
              <w:rPr>
                <w:rFonts w:eastAsia="Times New Roman"/>
                <w:color w:val="000000"/>
                <w:sz w:val="20"/>
              </w:rPr>
            </w:pPr>
            <w:r>
              <w:rPr>
                <w:rFonts w:eastAsia="Times New Roman"/>
                <w:color w:val="000000"/>
                <w:sz w:val="20"/>
              </w:rPr>
              <w:t>DPAC</w:t>
            </w:r>
          </w:p>
        </w:tc>
        <w:tc>
          <w:tcPr>
            <w:tcW w:w="624" w:type="dxa"/>
            <w:tcBorders>
              <w:top w:val="single" w:sz="8" w:space="0" w:color="000000"/>
              <w:left w:val="none" w:sz="0" w:space="0" w:color="000000"/>
              <w:bottom w:val="single" w:sz="8" w:space="0" w:color="000000"/>
              <w:right w:val="single" w:sz="8" w:space="0" w:color="000000"/>
            </w:tcBorders>
          </w:tcPr>
          <w:p w14:paraId="2C59CB02" w14:textId="77777777" w:rsidR="00CD1B9A" w:rsidRDefault="00CD1B9A" w:rsidP="00CD1B9A">
            <w:pPr>
              <w:textAlignment w:val="baseline"/>
              <w:rPr>
                <w:rFonts w:eastAsia="Times New Roman"/>
                <w:color w:val="000000"/>
                <w:sz w:val="24"/>
              </w:rPr>
            </w:pPr>
            <w:r>
              <w:rPr>
                <w:rFonts w:eastAsia="Times New Roman"/>
                <w:color w:val="000000"/>
                <w:sz w:val="24"/>
              </w:rPr>
              <w:tab/>
            </w:r>
          </w:p>
        </w:tc>
        <w:tc>
          <w:tcPr>
            <w:tcW w:w="1699" w:type="dxa"/>
            <w:tcBorders>
              <w:top w:val="single" w:sz="8" w:space="0" w:color="000000"/>
              <w:left w:val="single" w:sz="8" w:space="0" w:color="000000"/>
              <w:bottom w:val="single" w:sz="8" w:space="0" w:color="000000"/>
              <w:right w:val="single" w:sz="8" w:space="0" w:color="000000"/>
            </w:tcBorders>
            <w:vAlign w:val="center"/>
          </w:tcPr>
          <w:p w14:paraId="0BCDE771" w14:textId="77777777" w:rsidR="00CD1B9A" w:rsidRDefault="00CD1B9A" w:rsidP="00CD1B9A">
            <w:pPr>
              <w:spacing w:after="18" w:line="213" w:lineRule="exact"/>
              <w:jc w:val="center"/>
              <w:textAlignment w:val="baseline"/>
              <w:rPr>
                <w:rFonts w:eastAsia="Times New Roman"/>
                <w:color w:val="000000"/>
                <w:sz w:val="20"/>
              </w:rPr>
            </w:pPr>
            <w:r>
              <w:rPr>
                <w:rFonts w:eastAsia="Times New Roman"/>
                <w:color w:val="000000"/>
                <w:sz w:val="20"/>
              </w:rPr>
              <w:t>0</w:t>
            </w:r>
          </w:p>
        </w:tc>
        <w:tc>
          <w:tcPr>
            <w:tcW w:w="1661" w:type="dxa"/>
            <w:tcBorders>
              <w:top w:val="single" w:sz="8" w:space="0" w:color="000000"/>
              <w:left w:val="single" w:sz="8" w:space="0" w:color="000000"/>
              <w:bottom w:val="single" w:sz="8" w:space="0" w:color="000000"/>
              <w:right w:val="single" w:sz="8" w:space="0" w:color="000000"/>
            </w:tcBorders>
            <w:vAlign w:val="center"/>
          </w:tcPr>
          <w:p w14:paraId="75349A1D" w14:textId="77777777" w:rsidR="00CD1B9A" w:rsidRDefault="00CD1B9A" w:rsidP="00CD1B9A">
            <w:pPr>
              <w:spacing w:after="15" w:line="213" w:lineRule="exact"/>
              <w:jc w:val="center"/>
              <w:textAlignment w:val="baseline"/>
              <w:rPr>
                <w:rFonts w:eastAsia="Times New Roman"/>
                <w:color w:val="000000"/>
                <w:sz w:val="20"/>
              </w:rPr>
            </w:pPr>
            <w:r>
              <w:rPr>
                <w:rFonts w:eastAsia="Times New Roman"/>
                <w:color w:val="000000"/>
                <w:sz w:val="20"/>
              </w:rPr>
              <w:t>$5000</w:t>
            </w:r>
          </w:p>
        </w:tc>
        <w:tc>
          <w:tcPr>
            <w:tcW w:w="1675" w:type="dxa"/>
            <w:tcBorders>
              <w:top w:val="single" w:sz="8" w:space="0" w:color="000000"/>
              <w:left w:val="single" w:sz="8" w:space="0" w:color="000000"/>
              <w:bottom w:val="single" w:sz="8" w:space="0" w:color="000000"/>
              <w:right w:val="single" w:sz="8" w:space="0" w:color="000000"/>
            </w:tcBorders>
            <w:vAlign w:val="center"/>
          </w:tcPr>
          <w:p w14:paraId="7E092FFC" w14:textId="77777777" w:rsidR="00CD1B9A" w:rsidRDefault="00CD1B9A" w:rsidP="00CD1B9A">
            <w:pPr>
              <w:spacing w:after="16" w:line="213" w:lineRule="exact"/>
              <w:jc w:val="center"/>
              <w:textAlignment w:val="baseline"/>
              <w:rPr>
                <w:rFonts w:eastAsia="Times New Roman"/>
                <w:color w:val="000000"/>
                <w:sz w:val="20"/>
              </w:rPr>
            </w:pPr>
            <w:r>
              <w:rPr>
                <w:rFonts w:eastAsia="Times New Roman"/>
                <w:color w:val="000000"/>
                <w:sz w:val="20"/>
              </w:rPr>
              <w:t>$6000</w:t>
            </w:r>
          </w:p>
        </w:tc>
        <w:tc>
          <w:tcPr>
            <w:tcW w:w="2448" w:type="dxa"/>
            <w:tcBorders>
              <w:top w:val="single" w:sz="8" w:space="0" w:color="000000"/>
              <w:left w:val="single" w:sz="8" w:space="0" w:color="000000"/>
              <w:bottom w:val="single" w:sz="8" w:space="0" w:color="000000"/>
              <w:right w:val="single" w:sz="8" w:space="0" w:color="000000"/>
            </w:tcBorders>
            <w:vAlign w:val="center"/>
          </w:tcPr>
          <w:p w14:paraId="4182D4A7" w14:textId="77777777" w:rsidR="00CD1B9A" w:rsidRDefault="00CD1B9A" w:rsidP="00CD1B9A">
            <w:pPr>
              <w:spacing w:after="13" w:line="213" w:lineRule="exact"/>
              <w:jc w:val="center"/>
              <w:textAlignment w:val="baseline"/>
              <w:rPr>
                <w:rFonts w:eastAsia="Times New Roman"/>
                <w:color w:val="000000"/>
                <w:sz w:val="20"/>
              </w:rPr>
            </w:pPr>
            <w:r>
              <w:rPr>
                <w:rFonts w:eastAsia="Times New Roman"/>
                <w:color w:val="000000"/>
                <w:sz w:val="20"/>
              </w:rPr>
              <w:t>$11,000</w:t>
            </w:r>
          </w:p>
        </w:tc>
      </w:tr>
      <w:tr w:rsidR="00CD1B9A" w14:paraId="10321D81" w14:textId="77777777" w:rsidTr="00CD1B9A">
        <w:trPr>
          <w:trHeight w:hRule="exact" w:val="249"/>
        </w:trPr>
        <w:tc>
          <w:tcPr>
            <w:tcW w:w="648" w:type="dxa"/>
            <w:gridSpan w:val="3"/>
            <w:tcBorders>
              <w:top w:val="single" w:sz="8" w:space="0" w:color="000000"/>
              <w:left w:val="single" w:sz="8" w:space="0" w:color="000000"/>
              <w:bottom w:val="single" w:sz="8" w:space="0" w:color="000000"/>
              <w:right w:val="none" w:sz="0" w:space="0" w:color="000000"/>
            </w:tcBorders>
            <w:vAlign w:val="center"/>
          </w:tcPr>
          <w:p w14:paraId="47AA348E" w14:textId="77777777" w:rsidR="00CD1B9A" w:rsidRDefault="00CD1B9A" w:rsidP="00CD1B9A">
            <w:pPr>
              <w:spacing w:after="9" w:line="213" w:lineRule="exact"/>
              <w:ind w:left="105"/>
              <w:textAlignment w:val="baseline"/>
              <w:rPr>
                <w:rFonts w:eastAsia="Times New Roman"/>
                <w:color w:val="000000"/>
                <w:sz w:val="20"/>
              </w:rPr>
            </w:pPr>
            <w:r>
              <w:rPr>
                <w:rFonts w:eastAsia="Times New Roman"/>
                <w:color w:val="000000"/>
                <w:sz w:val="20"/>
              </w:rPr>
              <w:t>IT&amp;E</w:t>
            </w:r>
          </w:p>
        </w:tc>
        <w:tc>
          <w:tcPr>
            <w:tcW w:w="624" w:type="dxa"/>
            <w:tcBorders>
              <w:top w:val="single" w:sz="8" w:space="0" w:color="000000"/>
              <w:left w:val="none" w:sz="0" w:space="0" w:color="000000"/>
              <w:bottom w:val="single" w:sz="8" w:space="0" w:color="000000"/>
              <w:right w:val="single" w:sz="8" w:space="0" w:color="000000"/>
            </w:tcBorders>
          </w:tcPr>
          <w:p w14:paraId="67AF1190" w14:textId="77777777" w:rsidR="00CD1B9A" w:rsidRDefault="00CD1B9A" w:rsidP="00CD1B9A">
            <w:pPr>
              <w:textAlignment w:val="baseline"/>
              <w:rPr>
                <w:rFonts w:eastAsia="Times New Roman"/>
                <w:color w:val="000000"/>
                <w:sz w:val="24"/>
              </w:rPr>
            </w:pPr>
            <w:r>
              <w:rPr>
                <w:rFonts w:eastAsia="Times New Roman"/>
                <w:color w:val="000000"/>
                <w:sz w:val="24"/>
              </w:rPr>
              <w:tab/>
            </w:r>
          </w:p>
        </w:tc>
        <w:tc>
          <w:tcPr>
            <w:tcW w:w="1699" w:type="dxa"/>
            <w:tcBorders>
              <w:top w:val="single" w:sz="8" w:space="0" w:color="000000"/>
              <w:left w:val="single" w:sz="8" w:space="0" w:color="000000"/>
              <w:bottom w:val="single" w:sz="8" w:space="0" w:color="000000"/>
              <w:right w:val="single" w:sz="8" w:space="0" w:color="000000"/>
            </w:tcBorders>
            <w:vAlign w:val="center"/>
          </w:tcPr>
          <w:p w14:paraId="4241A352" w14:textId="77777777" w:rsidR="00CD1B9A" w:rsidRDefault="00CD1B9A" w:rsidP="00CD1B9A">
            <w:pPr>
              <w:spacing w:after="13" w:line="213" w:lineRule="exact"/>
              <w:jc w:val="center"/>
              <w:textAlignment w:val="baseline"/>
              <w:rPr>
                <w:rFonts w:eastAsia="Times New Roman"/>
                <w:color w:val="000000"/>
                <w:sz w:val="20"/>
              </w:rPr>
            </w:pPr>
            <w:r>
              <w:rPr>
                <w:rFonts w:eastAsia="Times New Roman"/>
                <w:color w:val="000000"/>
                <w:sz w:val="20"/>
              </w:rPr>
              <w:t>0</w:t>
            </w:r>
          </w:p>
        </w:tc>
        <w:tc>
          <w:tcPr>
            <w:tcW w:w="1661" w:type="dxa"/>
            <w:tcBorders>
              <w:top w:val="single" w:sz="8" w:space="0" w:color="000000"/>
              <w:left w:val="single" w:sz="8" w:space="0" w:color="000000"/>
              <w:bottom w:val="single" w:sz="8" w:space="0" w:color="000000"/>
              <w:right w:val="single" w:sz="8" w:space="0" w:color="000000"/>
            </w:tcBorders>
            <w:vAlign w:val="center"/>
          </w:tcPr>
          <w:p w14:paraId="6B234ABE" w14:textId="77777777" w:rsidR="00CD1B9A" w:rsidRDefault="00CD1B9A" w:rsidP="00CD1B9A">
            <w:pPr>
              <w:spacing w:after="8" w:line="213" w:lineRule="exact"/>
              <w:jc w:val="center"/>
              <w:textAlignment w:val="baseline"/>
              <w:rPr>
                <w:rFonts w:eastAsia="Times New Roman"/>
                <w:color w:val="000000"/>
                <w:sz w:val="20"/>
              </w:rPr>
            </w:pPr>
            <w:r>
              <w:rPr>
                <w:rFonts w:eastAsia="Times New Roman"/>
                <w:color w:val="000000"/>
                <w:sz w:val="20"/>
              </w:rPr>
              <w:t>$5000</w:t>
            </w:r>
          </w:p>
        </w:tc>
        <w:tc>
          <w:tcPr>
            <w:tcW w:w="1675" w:type="dxa"/>
            <w:tcBorders>
              <w:top w:val="single" w:sz="8" w:space="0" w:color="000000"/>
              <w:left w:val="single" w:sz="8" w:space="0" w:color="000000"/>
              <w:bottom w:val="single" w:sz="8" w:space="0" w:color="000000"/>
              <w:right w:val="single" w:sz="8" w:space="0" w:color="000000"/>
            </w:tcBorders>
            <w:vAlign w:val="center"/>
          </w:tcPr>
          <w:p w14:paraId="43F73F94" w14:textId="77777777" w:rsidR="00CD1B9A" w:rsidRDefault="00CD1B9A" w:rsidP="00CD1B9A">
            <w:pPr>
              <w:spacing w:after="9" w:line="213" w:lineRule="exact"/>
              <w:jc w:val="center"/>
              <w:textAlignment w:val="baseline"/>
              <w:rPr>
                <w:rFonts w:eastAsia="Times New Roman"/>
                <w:color w:val="000000"/>
                <w:sz w:val="20"/>
              </w:rPr>
            </w:pPr>
            <w:r>
              <w:rPr>
                <w:rFonts w:eastAsia="Times New Roman"/>
                <w:color w:val="000000"/>
                <w:sz w:val="20"/>
              </w:rPr>
              <w:t>$6000</w:t>
            </w:r>
          </w:p>
        </w:tc>
        <w:tc>
          <w:tcPr>
            <w:tcW w:w="2448" w:type="dxa"/>
            <w:tcBorders>
              <w:top w:val="single" w:sz="8" w:space="0" w:color="000000"/>
              <w:left w:val="single" w:sz="8" w:space="0" w:color="000000"/>
              <w:bottom w:val="single" w:sz="8" w:space="0" w:color="000000"/>
              <w:right w:val="single" w:sz="8" w:space="0" w:color="000000"/>
            </w:tcBorders>
            <w:vAlign w:val="center"/>
          </w:tcPr>
          <w:p w14:paraId="7F4EE19C" w14:textId="77777777" w:rsidR="00CD1B9A" w:rsidRDefault="00CD1B9A" w:rsidP="00CD1B9A">
            <w:pPr>
              <w:spacing w:after="7" w:line="213" w:lineRule="exact"/>
              <w:jc w:val="center"/>
              <w:textAlignment w:val="baseline"/>
              <w:rPr>
                <w:rFonts w:eastAsia="Times New Roman"/>
                <w:color w:val="000000"/>
                <w:sz w:val="20"/>
              </w:rPr>
            </w:pPr>
            <w:r>
              <w:rPr>
                <w:rFonts w:eastAsia="Times New Roman"/>
                <w:color w:val="000000"/>
                <w:sz w:val="20"/>
              </w:rPr>
              <w:t>$11,000</w:t>
            </w:r>
          </w:p>
        </w:tc>
      </w:tr>
      <w:tr w:rsidR="00CD1B9A" w14:paraId="2E5B5891" w14:textId="77777777" w:rsidTr="00CD1B9A">
        <w:trPr>
          <w:trHeight w:hRule="exact" w:val="255"/>
        </w:trPr>
        <w:tc>
          <w:tcPr>
            <w:tcW w:w="1272" w:type="dxa"/>
            <w:gridSpan w:val="4"/>
            <w:tcBorders>
              <w:top w:val="single" w:sz="8" w:space="0" w:color="000000"/>
              <w:left w:val="single" w:sz="8" w:space="0" w:color="000000"/>
              <w:bottom w:val="single" w:sz="8" w:space="0" w:color="000000"/>
              <w:right w:val="single" w:sz="8" w:space="0" w:color="000000"/>
            </w:tcBorders>
            <w:vAlign w:val="center"/>
          </w:tcPr>
          <w:p w14:paraId="6DA28CD7" w14:textId="77777777" w:rsidR="00CD1B9A" w:rsidRDefault="00CD1B9A" w:rsidP="00CD1B9A">
            <w:pPr>
              <w:spacing w:after="18" w:line="213" w:lineRule="exact"/>
              <w:ind w:left="105"/>
              <w:textAlignment w:val="baseline"/>
              <w:rPr>
                <w:rFonts w:eastAsia="Times New Roman"/>
                <w:color w:val="000000"/>
                <w:sz w:val="20"/>
              </w:rPr>
            </w:pPr>
            <w:r>
              <w:rPr>
                <w:rFonts w:eastAsia="Times New Roman"/>
                <w:color w:val="000000"/>
                <w:sz w:val="20"/>
              </w:rPr>
              <w:t>iCONNECT</w:t>
            </w:r>
          </w:p>
        </w:tc>
        <w:tc>
          <w:tcPr>
            <w:tcW w:w="1699" w:type="dxa"/>
            <w:tcBorders>
              <w:top w:val="single" w:sz="8" w:space="0" w:color="000000"/>
              <w:left w:val="single" w:sz="8" w:space="0" w:color="000000"/>
              <w:bottom w:val="single" w:sz="8" w:space="0" w:color="000000"/>
              <w:right w:val="single" w:sz="8" w:space="0" w:color="000000"/>
            </w:tcBorders>
            <w:vAlign w:val="center"/>
          </w:tcPr>
          <w:p w14:paraId="1002100A" w14:textId="77777777" w:rsidR="00CD1B9A" w:rsidRDefault="00CD1B9A" w:rsidP="00CD1B9A">
            <w:pPr>
              <w:spacing w:after="23" w:line="213" w:lineRule="exact"/>
              <w:jc w:val="center"/>
              <w:textAlignment w:val="baseline"/>
              <w:rPr>
                <w:rFonts w:eastAsia="Times New Roman"/>
                <w:color w:val="000000"/>
                <w:sz w:val="20"/>
              </w:rPr>
            </w:pPr>
            <w:r>
              <w:rPr>
                <w:rFonts w:eastAsia="Times New Roman"/>
                <w:color w:val="000000"/>
                <w:sz w:val="20"/>
              </w:rPr>
              <w:t>0</w:t>
            </w:r>
          </w:p>
        </w:tc>
        <w:tc>
          <w:tcPr>
            <w:tcW w:w="1661" w:type="dxa"/>
            <w:tcBorders>
              <w:top w:val="single" w:sz="8" w:space="0" w:color="000000"/>
              <w:left w:val="single" w:sz="8" w:space="0" w:color="000000"/>
              <w:bottom w:val="single" w:sz="8" w:space="0" w:color="000000"/>
              <w:right w:val="single" w:sz="8" w:space="0" w:color="000000"/>
            </w:tcBorders>
            <w:vAlign w:val="center"/>
          </w:tcPr>
          <w:p w14:paraId="3A2E13E5" w14:textId="77777777" w:rsidR="00CD1B9A" w:rsidRDefault="00CD1B9A" w:rsidP="00CD1B9A">
            <w:pPr>
              <w:spacing w:after="18" w:line="213" w:lineRule="exact"/>
              <w:jc w:val="center"/>
              <w:textAlignment w:val="baseline"/>
              <w:rPr>
                <w:rFonts w:eastAsia="Times New Roman"/>
                <w:color w:val="000000"/>
                <w:sz w:val="20"/>
              </w:rPr>
            </w:pPr>
            <w:r>
              <w:rPr>
                <w:rFonts w:eastAsia="Times New Roman"/>
                <w:color w:val="000000"/>
                <w:sz w:val="20"/>
              </w:rPr>
              <w:t>0</w:t>
            </w:r>
          </w:p>
        </w:tc>
        <w:tc>
          <w:tcPr>
            <w:tcW w:w="1675" w:type="dxa"/>
            <w:tcBorders>
              <w:top w:val="single" w:sz="8" w:space="0" w:color="000000"/>
              <w:left w:val="single" w:sz="8" w:space="0" w:color="000000"/>
              <w:bottom w:val="single" w:sz="8" w:space="0" w:color="000000"/>
              <w:right w:val="single" w:sz="8" w:space="0" w:color="000000"/>
            </w:tcBorders>
            <w:vAlign w:val="center"/>
          </w:tcPr>
          <w:p w14:paraId="14BDFDE1" w14:textId="77777777" w:rsidR="00CD1B9A" w:rsidRDefault="00CD1B9A" w:rsidP="00CD1B9A">
            <w:pPr>
              <w:spacing w:after="18" w:line="213" w:lineRule="exact"/>
              <w:jc w:val="center"/>
              <w:textAlignment w:val="baseline"/>
              <w:rPr>
                <w:rFonts w:eastAsia="Times New Roman"/>
                <w:color w:val="000000"/>
                <w:sz w:val="20"/>
              </w:rPr>
            </w:pPr>
            <w:r>
              <w:rPr>
                <w:rFonts w:eastAsia="Times New Roman"/>
                <w:color w:val="000000"/>
                <w:sz w:val="20"/>
              </w:rPr>
              <w:t>$2000</w:t>
            </w:r>
          </w:p>
        </w:tc>
        <w:tc>
          <w:tcPr>
            <w:tcW w:w="2448" w:type="dxa"/>
            <w:tcBorders>
              <w:top w:val="single" w:sz="8" w:space="0" w:color="000000"/>
              <w:left w:val="single" w:sz="8" w:space="0" w:color="000000"/>
              <w:bottom w:val="single" w:sz="8" w:space="0" w:color="000000"/>
              <w:right w:val="single" w:sz="8" w:space="0" w:color="000000"/>
            </w:tcBorders>
            <w:vAlign w:val="center"/>
          </w:tcPr>
          <w:p w14:paraId="57C1515E" w14:textId="77777777" w:rsidR="00CD1B9A" w:rsidRDefault="00CD1B9A" w:rsidP="00CD1B9A">
            <w:pPr>
              <w:spacing w:after="16" w:line="213" w:lineRule="exact"/>
              <w:jc w:val="center"/>
              <w:textAlignment w:val="baseline"/>
              <w:rPr>
                <w:rFonts w:eastAsia="Times New Roman"/>
                <w:color w:val="000000"/>
                <w:sz w:val="20"/>
              </w:rPr>
            </w:pPr>
            <w:r>
              <w:rPr>
                <w:rFonts w:eastAsia="Times New Roman"/>
                <w:color w:val="000000"/>
                <w:sz w:val="20"/>
              </w:rPr>
              <w:t>$2000</w:t>
            </w:r>
          </w:p>
        </w:tc>
      </w:tr>
      <w:tr w:rsidR="00CD1B9A" w14:paraId="1B2C7220" w14:textId="77777777" w:rsidTr="00CD1B9A">
        <w:trPr>
          <w:trHeight w:hRule="exact" w:val="249"/>
        </w:trPr>
        <w:tc>
          <w:tcPr>
            <w:tcW w:w="1272" w:type="dxa"/>
            <w:gridSpan w:val="4"/>
            <w:tcBorders>
              <w:top w:val="single" w:sz="8" w:space="0" w:color="000000"/>
              <w:left w:val="single" w:sz="8" w:space="0" w:color="000000"/>
              <w:bottom w:val="single" w:sz="8" w:space="0" w:color="000000"/>
              <w:right w:val="single" w:sz="8" w:space="0" w:color="000000"/>
            </w:tcBorders>
          </w:tcPr>
          <w:p w14:paraId="01618F37" w14:textId="77777777" w:rsidR="00CD1B9A" w:rsidRDefault="00CD1B9A" w:rsidP="00CD1B9A">
            <w:pPr>
              <w:textAlignment w:val="baseline"/>
              <w:rPr>
                <w:rFonts w:eastAsia="Times New Roman"/>
                <w:color w:val="000000"/>
                <w:sz w:val="24"/>
              </w:rPr>
            </w:pPr>
            <w:r>
              <w:rPr>
                <w:rFonts w:eastAsia="Times New Roman"/>
                <w:color w:val="000000"/>
                <w:sz w:val="24"/>
              </w:rPr>
              <w:tab/>
            </w:r>
          </w:p>
        </w:tc>
        <w:tc>
          <w:tcPr>
            <w:tcW w:w="1699" w:type="dxa"/>
            <w:tcBorders>
              <w:top w:val="single" w:sz="8" w:space="0" w:color="000000"/>
              <w:left w:val="single" w:sz="8" w:space="0" w:color="000000"/>
              <w:bottom w:val="single" w:sz="8" w:space="0" w:color="000000"/>
              <w:right w:val="single" w:sz="8" w:space="0" w:color="000000"/>
            </w:tcBorders>
          </w:tcPr>
          <w:p w14:paraId="16BFF0F9" w14:textId="77777777" w:rsidR="00CD1B9A" w:rsidRDefault="00CD1B9A" w:rsidP="00CD1B9A">
            <w:pPr>
              <w:textAlignment w:val="baseline"/>
              <w:rPr>
                <w:rFonts w:eastAsia="Times New Roman"/>
                <w:color w:val="000000"/>
                <w:sz w:val="24"/>
              </w:rPr>
            </w:pPr>
            <w:r>
              <w:rPr>
                <w:rFonts w:eastAsia="Times New Roman"/>
                <w:color w:val="000000"/>
                <w:sz w:val="24"/>
              </w:rPr>
              <w:tab/>
            </w:r>
          </w:p>
        </w:tc>
        <w:tc>
          <w:tcPr>
            <w:tcW w:w="1661" w:type="dxa"/>
            <w:tcBorders>
              <w:top w:val="single" w:sz="8" w:space="0" w:color="000000"/>
              <w:left w:val="single" w:sz="8" w:space="0" w:color="000000"/>
              <w:bottom w:val="single" w:sz="8" w:space="0" w:color="000000"/>
              <w:right w:val="single" w:sz="8" w:space="0" w:color="000000"/>
            </w:tcBorders>
          </w:tcPr>
          <w:p w14:paraId="5C8C3894" w14:textId="77777777" w:rsidR="00CD1B9A" w:rsidRDefault="00CD1B9A" w:rsidP="00CD1B9A">
            <w:pPr>
              <w:textAlignment w:val="baseline"/>
              <w:rPr>
                <w:rFonts w:eastAsia="Times New Roman"/>
                <w:color w:val="000000"/>
                <w:sz w:val="24"/>
              </w:rPr>
            </w:pPr>
            <w:r>
              <w:rPr>
                <w:rFonts w:eastAsia="Times New Roman"/>
                <w:color w:val="000000"/>
                <w:sz w:val="24"/>
              </w:rPr>
              <w:tab/>
            </w:r>
          </w:p>
        </w:tc>
        <w:tc>
          <w:tcPr>
            <w:tcW w:w="1675" w:type="dxa"/>
            <w:tcBorders>
              <w:top w:val="single" w:sz="8" w:space="0" w:color="000000"/>
              <w:left w:val="single" w:sz="8" w:space="0" w:color="000000"/>
              <w:bottom w:val="single" w:sz="8" w:space="0" w:color="000000"/>
              <w:right w:val="single" w:sz="8" w:space="0" w:color="000000"/>
            </w:tcBorders>
          </w:tcPr>
          <w:p w14:paraId="0A636CFC" w14:textId="77777777" w:rsidR="00CD1B9A" w:rsidRDefault="00CD1B9A" w:rsidP="00CD1B9A">
            <w:pPr>
              <w:textAlignment w:val="baseline"/>
              <w:rPr>
                <w:rFonts w:eastAsia="Times New Roman"/>
                <w:color w:val="000000"/>
                <w:sz w:val="24"/>
              </w:rPr>
            </w:pPr>
            <w:r>
              <w:rPr>
                <w:rFonts w:eastAsia="Times New Roman"/>
                <w:color w:val="000000"/>
                <w:sz w:val="24"/>
              </w:rPr>
              <w:tab/>
            </w:r>
          </w:p>
        </w:tc>
        <w:tc>
          <w:tcPr>
            <w:tcW w:w="2448" w:type="dxa"/>
            <w:tcBorders>
              <w:top w:val="single" w:sz="8" w:space="0" w:color="000000"/>
              <w:left w:val="single" w:sz="8" w:space="0" w:color="000000"/>
              <w:bottom w:val="single" w:sz="8" w:space="0" w:color="000000"/>
              <w:right w:val="single" w:sz="8" w:space="0" w:color="000000"/>
            </w:tcBorders>
            <w:vAlign w:val="center"/>
          </w:tcPr>
          <w:p w14:paraId="2358A7DC" w14:textId="77777777" w:rsidR="00CD1B9A" w:rsidRDefault="00CD1B9A" w:rsidP="00CD1B9A">
            <w:pPr>
              <w:spacing w:after="4" w:line="213" w:lineRule="exact"/>
              <w:jc w:val="center"/>
              <w:textAlignment w:val="baseline"/>
              <w:rPr>
                <w:rFonts w:eastAsia="Times New Roman"/>
                <w:color w:val="000000"/>
                <w:sz w:val="20"/>
              </w:rPr>
            </w:pPr>
            <w:r>
              <w:rPr>
                <w:rFonts w:eastAsia="Times New Roman"/>
                <w:color w:val="000000"/>
                <w:sz w:val="20"/>
              </w:rPr>
              <w:t>$45,000</w:t>
            </w:r>
          </w:p>
        </w:tc>
      </w:tr>
    </w:tbl>
    <w:p w14:paraId="6D2C2700" w14:textId="51E12C53" w:rsidR="00CD1B9A" w:rsidRDefault="00CD1B9A" w:rsidP="00CD1B9A">
      <w:pPr>
        <w:tabs>
          <w:tab w:val="left" w:pos="216"/>
          <w:tab w:val="left" w:pos="648"/>
        </w:tabs>
        <w:spacing w:before="276" w:line="295" w:lineRule="exact"/>
        <w:ind w:left="792" w:right="72"/>
        <w:textAlignment w:val="baseline"/>
        <w:rPr>
          <w:rFonts w:ascii="Garamond" w:eastAsia="Garamond" w:hAnsi="Garamond"/>
          <w:b/>
          <w:color w:val="000000"/>
          <w:spacing w:val="-9"/>
          <w:sz w:val="27"/>
        </w:rPr>
      </w:pPr>
    </w:p>
    <w:p w14:paraId="5B09DA1A" w14:textId="3E848271" w:rsidR="00654659" w:rsidRDefault="00610C36" w:rsidP="00B7548D">
      <w:pPr>
        <w:numPr>
          <w:ilvl w:val="0"/>
          <w:numId w:val="3"/>
        </w:numPr>
        <w:tabs>
          <w:tab w:val="clear" w:pos="216"/>
          <w:tab w:val="left" w:pos="648"/>
        </w:tabs>
        <w:ind w:left="720" w:hanging="360"/>
        <w:textAlignment w:val="baseline"/>
        <w:rPr>
          <w:rFonts w:eastAsia="Garamond"/>
          <w:color w:val="000000"/>
          <w:spacing w:val="-9"/>
          <w:sz w:val="24"/>
          <w:szCs w:val="24"/>
        </w:rPr>
      </w:pPr>
      <w:r w:rsidRPr="00AE410B">
        <w:rPr>
          <w:rFonts w:eastAsia="Garamond"/>
          <w:color w:val="000000"/>
          <w:spacing w:val="-9"/>
          <w:sz w:val="24"/>
          <w:szCs w:val="24"/>
        </w:rPr>
        <w:t xml:space="preserve"> </w:t>
      </w:r>
      <w:r w:rsidR="00654659" w:rsidRPr="00AE410B">
        <w:rPr>
          <w:rFonts w:eastAsia="Garamond"/>
          <w:color w:val="000000"/>
          <w:spacing w:val="-9"/>
          <w:sz w:val="24"/>
          <w:szCs w:val="24"/>
        </w:rPr>
        <w:t>For each fiscal year, should there be PUC administrative expenses in excess of the amount of the baseline assessment, the remaining balance of such administrative expenses will be apportioned among the Telecom c</w:t>
      </w:r>
      <w:r w:rsidR="0012007B" w:rsidRPr="00AE410B">
        <w:rPr>
          <w:rFonts w:eastAsia="Garamond"/>
          <w:color w:val="000000"/>
          <w:spacing w:val="-9"/>
          <w:sz w:val="24"/>
          <w:szCs w:val="24"/>
        </w:rPr>
        <w:t>arriers</w:t>
      </w:r>
      <w:r w:rsidR="00654659" w:rsidRPr="00AE410B">
        <w:rPr>
          <w:rFonts w:eastAsia="Garamond"/>
          <w:color w:val="000000"/>
          <w:spacing w:val="-9"/>
          <w:sz w:val="24"/>
          <w:szCs w:val="24"/>
        </w:rPr>
        <w:t xml:space="preserve"> based upon </w:t>
      </w:r>
      <w:r w:rsidR="0012007B" w:rsidRPr="00AE410B">
        <w:rPr>
          <w:rFonts w:eastAsia="Garamond"/>
          <w:color w:val="000000"/>
          <w:spacing w:val="-9"/>
          <w:sz w:val="24"/>
          <w:szCs w:val="24"/>
        </w:rPr>
        <w:t xml:space="preserve">that carrier’s </w:t>
      </w:r>
      <w:r w:rsidR="00654659" w:rsidRPr="00AE410B">
        <w:rPr>
          <w:rFonts w:eastAsia="Garamond"/>
          <w:color w:val="000000"/>
          <w:spacing w:val="-9"/>
          <w:sz w:val="24"/>
          <w:szCs w:val="24"/>
        </w:rPr>
        <w:t xml:space="preserve">percentage of </w:t>
      </w:r>
      <w:r w:rsidR="0012007B" w:rsidRPr="00AE410B">
        <w:rPr>
          <w:rFonts w:eastAsia="Garamond"/>
          <w:color w:val="000000"/>
          <w:spacing w:val="-9"/>
          <w:sz w:val="24"/>
          <w:szCs w:val="24"/>
        </w:rPr>
        <w:t xml:space="preserve">the </w:t>
      </w:r>
      <w:r w:rsidR="00654659" w:rsidRPr="00AE410B">
        <w:rPr>
          <w:rFonts w:eastAsia="Garamond"/>
          <w:color w:val="000000"/>
          <w:spacing w:val="-9"/>
          <w:sz w:val="24"/>
          <w:szCs w:val="24"/>
        </w:rPr>
        <w:t xml:space="preserve">total regulatory fees assessed against </w:t>
      </w:r>
      <w:r w:rsidR="0045292C">
        <w:rPr>
          <w:rFonts w:eastAsia="Garamond"/>
          <w:color w:val="000000"/>
          <w:spacing w:val="-9"/>
          <w:sz w:val="24"/>
          <w:szCs w:val="24"/>
        </w:rPr>
        <w:t>all</w:t>
      </w:r>
      <w:r w:rsidR="00654659" w:rsidRPr="00AE410B">
        <w:rPr>
          <w:rFonts w:eastAsia="Garamond"/>
          <w:color w:val="000000"/>
          <w:spacing w:val="-9"/>
          <w:sz w:val="24"/>
          <w:szCs w:val="24"/>
        </w:rPr>
        <w:t xml:space="preserve"> c</w:t>
      </w:r>
      <w:r w:rsidR="00616458" w:rsidRPr="00AE410B">
        <w:rPr>
          <w:rFonts w:eastAsia="Garamond"/>
          <w:color w:val="000000"/>
          <w:spacing w:val="-9"/>
          <w:sz w:val="24"/>
          <w:szCs w:val="24"/>
        </w:rPr>
        <w:t>arrier</w:t>
      </w:r>
      <w:r w:rsidR="0045292C">
        <w:rPr>
          <w:rFonts w:eastAsia="Garamond"/>
          <w:color w:val="000000"/>
          <w:spacing w:val="-9"/>
          <w:sz w:val="24"/>
          <w:szCs w:val="24"/>
        </w:rPr>
        <w:t>s</w:t>
      </w:r>
      <w:r w:rsidR="00654659" w:rsidRPr="00AE410B">
        <w:rPr>
          <w:rFonts w:eastAsia="Garamond"/>
          <w:color w:val="000000"/>
          <w:spacing w:val="-9"/>
          <w:sz w:val="24"/>
          <w:szCs w:val="24"/>
        </w:rPr>
        <w:t xml:space="preserve"> for the prior fiscal year.  </w:t>
      </w:r>
    </w:p>
    <w:p w14:paraId="7C89C9AC" w14:textId="77777777" w:rsidR="00B7548D" w:rsidRPr="00AE410B" w:rsidRDefault="00B7548D" w:rsidP="00AE410B">
      <w:pPr>
        <w:tabs>
          <w:tab w:val="left" w:pos="216"/>
          <w:tab w:val="left" w:pos="648"/>
        </w:tabs>
        <w:ind w:left="720"/>
        <w:textAlignment w:val="baseline"/>
        <w:rPr>
          <w:rFonts w:eastAsia="Garamond"/>
          <w:color w:val="000000"/>
          <w:spacing w:val="-9"/>
          <w:sz w:val="24"/>
          <w:szCs w:val="24"/>
        </w:rPr>
      </w:pPr>
    </w:p>
    <w:p w14:paraId="1462EB7F" w14:textId="6A0658BC" w:rsidR="00322D67" w:rsidRDefault="002F4508" w:rsidP="00B7548D">
      <w:pPr>
        <w:numPr>
          <w:ilvl w:val="0"/>
          <w:numId w:val="3"/>
        </w:numPr>
        <w:tabs>
          <w:tab w:val="clear" w:pos="216"/>
          <w:tab w:val="left" w:pos="648"/>
        </w:tabs>
        <w:ind w:left="720" w:hanging="360"/>
        <w:textAlignment w:val="baseline"/>
        <w:rPr>
          <w:rFonts w:eastAsia="Garamond"/>
          <w:color w:val="000000"/>
          <w:spacing w:val="-9"/>
          <w:sz w:val="24"/>
          <w:szCs w:val="24"/>
        </w:rPr>
      </w:pPr>
      <w:r w:rsidRPr="00AE410B">
        <w:rPr>
          <w:rFonts w:eastAsia="Garamond"/>
          <w:color w:val="000000"/>
          <w:spacing w:val="-9"/>
          <w:sz w:val="24"/>
          <w:szCs w:val="24"/>
        </w:rPr>
        <w:t xml:space="preserve">The total assessments on all carriers for </w:t>
      </w:r>
      <w:r w:rsidR="0012007B" w:rsidRPr="00AE410B">
        <w:rPr>
          <w:rFonts w:eastAsia="Garamond"/>
          <w:color w:val="000000"/>
          <w:spacing w:val="-9"/>
          <w:sz w:val="24"/>
          <w:szCs w:val="24"/>
        </w:rPr>
        <w:t xml:space="preserve">regulatory fees during </w:t>
      </w:r>
      <w:r w:rsidRPr="00AE410B">
        <w:rPr>
          <w:rFonts w:eastAsia="Garamond"/>
          <w:color w:val="000000"/>
          <w:spacing w:val="-9"/>
          <w:sz w:val="24"/>
          <w:szCs w:val="24"/>
        </w:rPr>
        <w:t xml:space="preserve">the preceding year under section 1 shall be determined and a percentage shall be calculated of each carrier's </w:t>
      </w:r>
      <w:r w:rsidR="00856588" w:rsidRPr="00AE410B">
        <w:rPr>
          <w:rFonts w:eastAsia="Garamond"/>
          <w:color w:val="000000"/>
          <w:spacing w:val="-9"/>
          <w:sz w:val="24"/>
          <w:szCs w:val="24"/>
        </w:rPr>
        <w:t xml:space="preserve">regulatory </w:t>
      </w:r>
      <w:r w:rsidRPr="00AE410B">
        <w:rPr>
          <w:rFonts w:eastAsia="Garamond"/>
          <w:color w:val="000000"/>
          <w:spacing w:val="-9"/>
          <w:sz w:val="24"/>
          <w:szCs w:val="24"/>
        </w:rPr>
        <w:t xml:space="preserve">assessments to the total </w:t>
      </w:r>
      <w:r w:rsidR="00856588" w:rsidRPr="00AE410B">
        <w:rPr>
          <w:rFonts w:eastAsia="Garamond"/>
          <w:color w:val="000000"/>
          <w:spacing w:val="-9"/>
          <w:sz w:val="24"/>
          <w:szCs w:val="24"/>
        </w:rPr>
        <w:t xml:space="preserve">regulatory </w:t>
      </w:r>
      <w:r w:rsidRPr="00AE410B">
        <w:rPr>
          <w:rFonts w:eastAsia="Garamond"/>
          <w:color w:val="000000"/>
          <w:spacing w:val="-9"/>
          <w:sz w:val="24"/>
          <w:szCs w:val="24"/>
        </w:rPr>
        <w:t xml:space="preserve">assessments. A carrier shall be assessed for a portion of the </w:t>
      </w:r>
      <w:r w:rsidR="0012664A" w:rsidRPr="00AE410B">
        <w:rPr>
          <w:rFonts w:eastAsia="Garamond"/>
          <w:color w:val="000000"/>
          <w:spacing w:val="-9"/>
          <w:sz w:val="24"/>
          <w:szCs w:val="24"/>
        </w:rPr>
        <w:t xml:space="preserve">PUC </w:t>
      </w:r>
      <w:r w:rsidRPr="00AE410B">
        <w:rPr>
          <w:rFonts w:eastAsia="Garamond"/>
          <w:color w:val="000000"/>
          <w:spacing w:val="-9"/>
          <w:sz w:val="24"/>
          <w:szCs w:val="24"/>
        </w:rPr>
        <w:t xml:space="preserve">annual </w:t>
      </w:r>
      <w:r w:rsidR="0012007B" w:rsidRPr="00AE410B">
        <w:rPr>
          <w:rFonts w:eastAsia="Garamond"/>
          <w:color w:val="000000"/>
          <w:spacing w:val="-9"/>
          <w:sz w:val="24"/>
          <w:szCs w:val="24"/>
        </w:rPr>
        <w:t xml:space="preserve">administrative </w:t>
      </w:r>
      <w:r w:rsidR="0012664A" w:rsidRPr="00AE410B">
        <w:rPr>
          <w:rFonts w:eastAsia="Garamond"/>
          <w:color w:val="000000"/>
          <w:spacing w:val="-9"/>
          <w:sz w:val="24"/>
          <w:szCs w:val="24"/>
        </w:rPr>
        <w:t>expenses</w:t>
      </w:r>
      <w:r w:rsidR="0012007B" w:rsidRPr="00AE410B">
        <w:rPr>
          <w:rFonts w:eastAsia="Garamond"/>
          <w:color w:val="000000"/>
          <w:spacing w:val="-9"/>
          <w:sz w:val="24"/>
          <w:szCs w:val="24"/>
        </w:rPr>
        <w:t xml:space="preserve"> in excess of the baseline assessment</w:t>
      </w:r>
      <w:r w:rsidRPr="00AE410B">
        <w:rPr>
          <w:rFonts w:eastAsia="Garamond"/>
          <w:color w:val="000000"/>
          <w:spacing w:val="-9"/>
          <w:sz w:val="24"/>
          <w:szCs w:val="24"/>
        </w:rPr>
        <w:t>, which shall be determined by multiplying the above percentage by the annual expenses.</w:t>
      </w:r>
      <w:r w:rsidR="00273280">
        <w:rPr>
          <w:rStyle w:val="FootnoteReference"/>
          <w:rFonts w:eastAsia="Garamond"/>
          <w:color w:val="000000"/>
          <w:spacing w:val="-9"/>
          <w:sz w:val="24"/>
          <w:szCs w:val="24"/>
        </w:rPr>
        <w:footnoteReference w:id="3"/>
      </w:r>
      <w:r w:rsidRPr="00AE410B">
        <w:rPr>
          <w:rFonts w:eastAsia="Garamond"/>
          <w:color w:val="000000"/>
          <w:spacing w:val="-9"/>
          <w:sz w:val="24"/>
          <w:szCs w:val="24"/>
        </w:rPr>
        <w:t xml:space="preserve"> </w:t>
      </w:r>
    </w:p>
    <w:p w14:paraId="6E699C9A" w14:textId="77777777" w:rsidR="00273280" w:rsidRDefault="00273280" w:rsidP="00AE410B">
      <w:pPr>
        <w:pStyle w:val="ListParagraph"/>
        <w:rPr>
          <w:rFonts w:eastAsia="Garamond"/>
          <w:color w:val="000000"/>
          <w:spacing w:val="-9"/>
          <w:sz w:val="24"/>
          <w:szCs w:val="24"/>
        </w:rPr>
      </w:pPr>
    </w:p>
    <w:p w14:paraId="4FF112C3" w14:textId="7E65D090" w:rsidR="00273280" w:rsidRDefault="00273280" w:rsidP="0045292C">
      <w:pPr>
        <w:numPr>
          <w:ilvl w:val="0"/>
          <w:numId w:val="3"/>
        </w:numPr>
        <w:tabs>
          <w:tab w:val="clear" w:pos="216"/>
          <w:tab w:val="left" w:pos="648"/>
        </w:tabs>
        <w:ind w:left="720" w:hanging="360"/>
        <w:textAlignment w:val="baseline"/>
        <w:rPr>
          <w:rFonts w:eastAsia="Garamond"/>
          <w:color w:val="000000"/>
          <w:spacing w:val="-9"/>
          <w:sz w:val="24"/>
          <w:szCs w:val="24"/>
        </w:rPr>
      </w:pPr>
      <w:r w:rsidRPr="00DE2CDD">
        <w:rPr>
          <w:rFonts w:eastAsia="Garamond"/>
          <w:color w:val="000000"/>
          <w:spacing w:val="-9"/>
          <w:sz w:val="24"/>
          <w:szCs w:val="24"/>
        </w:rPr>
        <w:t>The regulatory expenses, which are incurred in a proceeding under section 1 [b][ii] shall be</w:t>
      </w:r>
      <w:r>
        <w:rPr>
          <w:rFonts w:eastAsia="Garamond"/>
          <w:color w:val="000000"/>
          <w:spacing w:val="-9"/>
          <w:sz w:val="24"/>
          <w:szCs w:val="24"/>
        </w:rPr>
        <w:t xml:space="preserve"> </w:t>
      </w:r>
      <w:r w:rsidRPr="00DE2CDD">
        <w:rPr>
          <w:rFonts w:eastAsia="Garamond"/>
          <w:color w:val="000000"/>
          <w:spacing w:val="-9"/>
          <w:sz w:val="24"/>
          <w:szCs w:val="24"/>
        </w:rPr>
        <w:t>allocated proportionally among all carriers, which PUC determines have a material interest in the proceeding. This allocation shall be made in accordance with the percentage of the total baseline assessment that each carrier pays under Section 2a.  Should any carrier not be a party to such proceeding, its portion of the baseline assessment shall be excluded from the calculation. However, the PUC shall have the authority to alter or revise the allocation of regulatory expenses in a proceeding in the interests of justice and fairness to all parties.</w:t>
      </w:r>
    </w:p>
    <w:p w14:paraId="326D7F03" w14:textId="77777777" w:rsidR="00273280" w:rsidRDefault="00273280" w:rsidP="0045292C">
      <w:pPr>
        <w:pStyle w:val="ListParagraph"/>
        <w:rPr>
          <w:rFonts w:eastAsia="Garamond"/>
          <w:color w:val="000000"/>
          <w:spacing w:val="-9"/>
          <w:sz w:val="24"/>
          <w:szCs w:val="24"/>
        </w:rPr>
      </w:pPr>
    </w:p>
    <w:p w14:paraId="22FF2CFC" w14:textId="77777777" w:rsidR="00273280" w:rsidRDefault="00273280" w:rsidP="00AE410B">
      <w:pPr>
        <w:tabs>
          <w:tab w:val="left" w:pos="216"/>
          <w:tab w:val="left" w:pos="648"/>
        </w:tabs>
        <w:ind w:left="720"/>
        <w:textAlignment w:val="baseline"/>
        <w:rPr>
          <w:rFonts w:eastAsia="Garamond"/>
          <w:color w:val="000000"/>
          <w:spacing w:val="-9"/>
          <w:sz w:val="24"/>
          <w:szCs w:val="24"/>
        </w:rPr>
      </w:pPr>
    </w:p>
    <w:p w14:paraId="02067321" w14:textId="60715789" w:rsidR="00273280" w:rsidRPr="0045292C" w:rsidRDefault="002F4508" w:rsidP="00AE410B">
      <w:pPr>
        <w:textAlignment w:val="baseline"/>
        <w:rPr>
          <w:rFonts w:eastAsia="Times New Roman"/>
          <w:b/>
          <w:color w:val="000000"/>
          <w:spacing w:val="2"/>
          <w:sz w:val="24"/>
          <w:szCs w:val="24"/>
        </w:rPr>
      </w:pPr>
      <w:r w:rsidRPr="00D41163">
        <w:rPr>
          <w:rFonts w:eastAsia="Times New Roman"/>
          <w:color w:val="000000"/>
          <w:spacing w:val="2"/>
          <w:sz w:val="24"/>
          <w:szCs w:val="24"/>
        </w:rPr>
        <w:t xml:space="preserve">3. </w:t>
      </w:r>
      <w:r w:rsidRPr="0045292C">
        <w:rPr>
          <w:rFonts w:eastAsia="Times New Roman"/>
          <w:color w:val="000000"/>
          <w:spacing w:val="2"/>
          <w:sz w:val="24"/>
          <w:szCs w:val="24"/>
        </w:rPr>
        <w:t>Billing and Collection.</w:t>
      </w:r>
    </w:p>
    <w:p w14:paraId="77381CC0" w14:textId="77777777" w:rsidR="00273280" w:rsidRPr="0045292C" w:rsidRDefault="00273280">
      <w:pPr>
        <w:spacing w:before="280" w:line="300" w:lineRule="exact"/>
        <w:textAlignment w:val="baseline"/>
        <w:rPr>
          <w:rFonts w:eastAsia="Times New Roman"/>
          <w:b/>
          <w:color w:val="000000"/>
          <w:spacing w:val="2"/>
          <w:sz w:val="24"/>
          <w:szCs w:val="24"/>
        </w:rPr>
      </w:pPr>
    </w:p>
    <w:p w14:paraId="1409E03A" w14:textId="538E8D37" w:rsidR="00322D67" w:rsidRPr="0045292C" w:rsidRDefault="002F4508" w:rsidP="0045292C">
      <w:pPr>
        <w:numPr>
          <w:ilvl w:val="0"/>
          <w:numId w:val="4"/>
        </w:numPr>
        <w:tabs>
          <w:tab w:val="clear" w:pos="360"/>
          <w:tab w:val="left" w:pos="720"/>
        </w:tabs>
        <w:ind w:left="720" w:hanging="360"/>
        <w:textAlignment w:val="baseline"/>
        <w:rPr>
          <w:rFonts w:eastAsia="Times New Roman"/>
          <w:color w:val="000000"/>
          <w:spacing w:val="5"/>
          <w:sz w:val="24"/>
          <w:szCs w:val="24"/>
        </w:rPr>
      </w:pPr>
      <w:r w:rsidRPr="0045292C">
        <w:rPr>
          <w:rFonts w:eastAsia="Times New Roman"/>
          <w:color w:val="000000"/>
          <w:spacing w:val="5"/>
          <w:sz w:val="24"/>
          <w:szCs w:val="24"/>
        </w:rPr>
        <w:t>The annual administrative assessment</w:t>
      </w:r>
      <w:r w:rsidR="003B03CF" w:rsidRPr="0045292C">
        <w:rPr>
          <w:rFonts w:eastAsia="Times New Roman"/>
          <w:color w:val="000000"/>
          <w:spacing w:val="5"/>
          <w:sz w:val="24"/>
          <w:szCs w:val="24"/>
        </w:rPr>
        <w:t>s</w:t>
      </w:r>
      <w:r w:rsidRPr="0045292C">
        <w:rPr>
          <w:rFonts w:eastAsia="Times New Roman"/>
          <w:color w:val="000000"/>
          <w:spacing w:val="5"/>
          <w:sz w:val="24"/>
          <w:szCs w:val="24"/>
        </w:rPr>
        <w:t>, which are described in section 1(b) (i), shall be invoiced on or about October first of each year. The regulatory fees and expenses, which are described in section 1(b) (iii) shall be assessed and invoiced on a monthly basis. PUC invoices shall be due and paid within 30 days of the date the invoice is sent to the carriers.</w:t>
      </w:r>
    </w:p>
    <w:p w14:paraId="1ECC6042" w14:textId="77777777" w:rsidR="006419FC" w:rsidRPr="0045292C" w:rsidRDefault="006419FC" w:rsidP="0045292C">
      <w:pPr>
        <w:tabs>
          <w:tab w:val="left" w:pos="360"/>
          <w:tab w:val="left" w:pos="720"/>
        </w:tabs>
        <w:ind w:left="720"/>
        <w:textAlignment w:val="baseline"/>
        <w:rPr>
          <w:rFonts w:eastAsia="Times New Roman"/>
          <w:color w:val="000000"/>
          <w:spacing w:val="5"/>
          <w:sz w:val="24"/>
          <w:szCs w:val="24"/>
        </w:rPr>
      </w:pPr>
    </w:p>
    <w:p w14:paraId="44B66FEC" w14:textId="446FDDB0" w:rsidR="00322D67" w:rsidRPr="0045292C" w:rsidRDefault="002F4508" w:rsidP="0045292C">
      <w:pPr>
        <w:numPr>
          <w:ilvl w:val="0"/>
          <w:numId w:val="4"/>
        </w:numPr>
        <w:tabs>
          <w:tab w:val="clear" w:pos="360"/>
          <w:tab w:val="left" w:pos="720"/>
        </w:tabs>
        <w:ind w:left="720" w:hanging="360"/>
        <w:textAlignment w:val="baseline"/>
        <w:rPr>
          <w:rFonts w:eastAsia="Times New Roman"/>
          <w:sz w:val="24"/>
          <w:szCs w:val="24"/>
        </w:rPr>
      </w:pPr>
      <w:r w:rsidRPr="0045292C">
        <w:rPr>
          <w:rFonts w:eastAsia="Times New Roman"/>
          <w:color w:val="000000"/>
          <w:spacing w:val="6"/>
          <w:sz w:val="24"/>
          <w:szCs w:val="24"/>
        </w:rPr>
        <w:t>Any PUC invoice not paid within 30 days of the date the invoice is sent shall subject a carrier to the penalties authorized in 12 GCA 12</w:t>
      </w:r>
      <w:r w:rsidR="007B1D08" w:rsidRPr="0045292C">
        <w:rPr>
          <w:rFonts w:eastAsia="Times New Roman"/>
          <w:color w:val="000000"/>
          <w:spacing w:val="6"/>
          <w:sz w:val="24"/>
          <w:szCs w:val="24"/>
        </w:rPr>
        <w:t>2</w:t>
      </w:r>
      <w:r w:rsidRPr="0045292C">
        <w:rPr>
          <w:rFonts w:eastAsia="Times New Roman"/>
          <w:color w:val="000000"/>
          <w:spacing w:val="6"/>
          <w:sz w:val="24"/>
          <w:szCs w:val="24"/>
        </w:rPr>
        <w:t>08. In a section 12</w:t>
      </w:r>
      <w:r w:rsidR="007B1D08" w:rsidRPr="0045292C">
        <w:rPr>
          <w:rFonts w:eastAsia="Times New Roman"/>
          <w:color w:val="000000"/>
          <w:spacing w:val="6"/>
          <w:sz w:val="24"/>
          <w:szCs w:val="24"/>
        </w:rPr>
        <w:t>2</w:t>
      </w:r>
      <w:r w:rsidRPr="0045292C">
        <w:rPr>
          <w:rFonts w:eastAsia="Times New Roman"/>
          <w:color w:val="000000"/>
          <w:spacing w:val="6"/>
          <w:sz w:val="24"/>
          <w:szCs w:val="24"/>
        </w:rPr>
        <w:t>08 enforcement hearing, a carrier may contest the reasonableness of an invoice. PUC's administrative law judge is authorized, with carrier's consent, to mediate any such dispute in advance of a hearing.</w:t>
      </w:r>
    </w:p>
    <w:sectPr w:rsidR="00322D67" w:rsidRPr="0045292C" w:rsidSect="00ED63E0">
      <w:pgSz w:w="12240" w:h="15840" w:code="1"/>
      <w:pgMar w:top="1200" w:right="1774" w:bottom="2004" w:left="178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F9774" w14:textId="77777777" w:rsidR="00104753" w:rsidRDefault="00104753" w:rsidP="003D0ED6">
      <w:r>
        <w:separator/>
      </w:r>
    </w:p>
  </w:endnote>
  <w:endnote w:type="continuationSeparator" w:id="0">
    <w:p w14:paraId="4D9AE527" w14:textId="77777777" w:rsidR="00104753" w:rsidRDefault="00104753" w:rsidP="003D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EC30" w14:textId="77777777" w:rsidR="00104753" w:rsidRDefault="00104753" w:rsidP="003D0ED6">
      <w:r>
        <w:separator/>
      </w:r>
    </w:p>
  </w:footnote>
  <w:footnote w:type="continuationSeparator" w:id="0">
    <w:p w14:paraId="7885D976" w14:textId="77777777" w:rsidR="00104753" w:rsidRDefault="00104753" w:rsidP="003D0ED6">
      <w:r>
        <w:continuationSeparator/>
      </w:r>
    </w:p>
  </w:footnote>
  <w:footnote w:id="1">
    <w:p w14:paraId="1E4F426D" w14:textId="7869AED9" w:rsidR="002928E8" w:rsidRDefault="002928E8" w:rsidP="004972E8">
      <w:pPr>
        <w:pStyle w:val="FootnoteText"/>
      </w:pPr>
      <w:r>
        <w:rPr>
          <w:rStyle w:val="FootnoteReference"/>
        </w:rPr>
        <w:footnoteRef/>
      </w:r>
      <w:r>
        <w:t xml:space="preserve"> PUC’s fiscal year runs from October 1 through September 30.</w:t>
      </w:r>
    </w:p>
  </w:footnote>
  <w:footnote w:id="2">
    <w:p w14:paraId="099D2D47" w14:textId="77777777" w:rsidR="004972E8" w:rsidRPr="00943FBE" w:rsidRDefault="004972E8" w:rsidP="003672EA">
      <w:pPr>
        <w:ind w:right="360"/>
        <w:textAlignment w:val="baseline"/>
        <w:rPr>
          <w:rFonts w:eastAsia="Times New Roman"/>
          <w:color w:val="000000"/>
          <w:spacing w:val="-6"/>
          <w:sz w:val="20"/>
          <w:szCs w:val="20"/>
          <w:vertAlign w:val="superscript"/>
        </w:rPr>
      </w:pPr>
      <w:r>
        <w:rPr>
          <w:rStyle w:val="FootnoteReference"/>
        </w:rPr>
        <w:footnoteRef/>
      </w:r>
      <w:r>
        <w:t xml:space="preserve"> </w:t>
      </w:r>
      <w:r w:rsidRPr="00943FBE">
        <w:rPr>
          <w:rFonts w:eastAsia="Times New Roman"/>
          <w:color w:val="000000"/>
          <w:spacing w:val="-6"/>
          <w:sz w:val="20"/>
          <w:szCs w:val="20"/>
        </w:rPr>
        <w:t>Regulatory expenses include, without limitation, consultant fees, counsel and administrative law judge fees, hearing reporter fees, hearing room rental fees and publication expenses.</w:t>
      </w:r>
    </w:p>
    <w:p w14:paraId="44ACE123" w14:textId="0E54EC4B" w:rsidR="004972E8" w:rsidRDefault="004972E8">
      <w:pPr>
        <w:pStyle w:val="FootnoteText"/>
      </w:pPr>
    </w:p>
  </w:footnote>
  <w:footnote w:id="3">
    <w:p w14:paraId="7A3A2E6C" w14:textId="1716D735" w:rsidR="00273280" w:rsidRPr="00AE410B" w:rsidRDefault="00273280" w:rsidP="00AE410B">
      <w:pPr>
        <w:spacing w:before="146" w:line="246" w:lineRule="exact"/>
        <w:ind w:right="144"/>
        <w:textAlignment w:val="baseline"/>
        <w:rPr>
          <w:rFonts w:eastAsia="Garamond"/>
          <w:color w:val="000000"/>
          <w:spacing w:val="-9"/>
          <w:sz w:val="20"/>
          <w:szCs w:val="20"/>
          <w:vertAlign w:val="superscript"/>
        </w:rPr>
      </w:pPr>
      <w:r>
        <w:rPr>
          <w:rStyle w:val="FootnoteReference"/>
        </w:rPr>
        <w:footnoteRef/>
      </w:r>
      <w:r>
        <w:t xml:space="preserve"> </w:t>
      </w:r>
      <w:r w:rsidRPr="00DE2CDD">
        <w:rPr>
          <w:rFonts w:eastAsia="Garamond"/>
          <w:i/>
          <w:color w:val="000000"/>
          <w:spacing w:val="-9"/>
          <w:sz w:val="20"/>
          <w:szCs w:val="20"/>
        </w:rPr>
        <w:t xml:space="preserve">For example, </w:t>
      </w:r>
      <w:r w:rsidRPr="00DE2CDD">
        <w:rPr>
          <w:rFonts w:eastAsia="Garamond"/>
          <w:color w:val="000000"/>
          <w:spacing w:val="-9"/>
          <w:sz w:val="20"/>
          <w:szCs w:val="20"/>
        </w:rPr>
        <w:t>if the total FY18 assessment of PUC Administrative expenses for GTA and Other Telecom Companies under section l[b][i] was $95,000; each carrier would first be assessed its portion of the administrative expenses due under the baseline assessment.  Assume Company “A” owed $11,000 for its baseline assessment.  In addition to the total baseline assessment, a balance of $50,000 would remain for PUC administrative expenses [$95,000 minus $45,000 baseline assessment]. Assuming that company" A" had been assessed $20,000 out of a total of $100,000 as regulatory expenses incurred during the prior fiscal year, it would also be responsible for 20% of the balance of $50,000, or $10,000 [$50,000 x .2%] (in addition to its baseline assessment). The total assessment against Company “A” would be $21,000.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2800"/>
    <w:multiLevelType w:val="multilevel"/>
    <w:tmpl w:val="78E09260"/>
    <w:lvl w:ilvl="0">
      <w:start w:val="1"/>
      <w:numFmt w:val="lowerLetter"/>
      <w:lvlText w:val="%1."/>
      <w:lvlJc w:val="left"/>
      <w:pPr>
        <w:tabs>
          <w:tab w:val="left" w:pos="360"/>
        </w:tabs>
      </w:pPr>
      <w:rPr>
        <w:rFonts w:ascii="Times New Roman" w:eastAsia="Times New Roman" w:hAnsi="Times New Roman"/>
        <w:b w:val="0"/>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F215C2"/>
    <w:multiLevelType w:val="multilevel"/>
    <w:tmpl w:val="D6422076"/>
    <w:lvl w:ilvl="0">
      <w:start w:val="1"/>
      <w:numFmt w:val="lowerRoman"/>
      <w:lvlText w:val="%1."/>
      <w:lvlJc w:val="left"/>
      <w:pPr>
        <w:tabs>
          <w:tab w:val="left" w:pos="720"/>
        </w:tabs>
      </w:pPr>
      <w:rPr>
        <w:rFonts w:ascii="Times New Roman" w:eastAsia="Times New Roman" w:hAnsi="Times New Roman"/>
        <w:b w:val="0"/>
        <w:strike w:val="0"/>
        <w:color w:val="000000"/>
        <w:spacing w:val="-6"/>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F640C5"/>
    <w:multiLevelType w:val="multilevel"/>
    <w:tmpl w:val="B8C2902C"/>
    <w:lvl w:ilvl="0">
      <w:start w:val="1"/>
      <w:numFmt w:val="lowerLetter"/>
      <w:lvlText w:val="%1."/>
      <w:lvlJc w:val="left"/>
      <w:pPr>
        <w:tabs>
          <w:tab w:val="left" w:pos="216"/>
        </w:tabs>
      </w:pPr>
      <w:rPr>
        <w:rFonts w:ascii="Times New Roman" w:eastAsia="Garamond" w:hAnsi="Times New Roman" w:cs="Times New Roman" w:hint="default"/>
        <w:b w:val="0"/>
        <w:strike w:val="0"/>
        <w:color w:val="000000"/>
        <w:spacing w:val="-9"/>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2F2B44"/>
    <w:multiLevelType w:val="multilevel"/>
    <w:tmpl w:val="2FA4EDB4"/>
    <w:lvl w:ilvl="0">
      <w:start w:val="1"/>
      <w:numFmt w:val="lowerLetter"/>
      <w:lvlText w:val="%1."/>
      <w:lvlJc w:val="left"/>
      <w:pPr>
        <w:tabs>
          <w:tab w:val="left" w:pos="360"/>
        </w:tabs>
      </w:pPr>
      <w:rPr>
        <w:rFonts w:ascii="Times New Roman" w:eastAsia="Times New Roman" w:hAnsi="Times New Roman"/>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67"/>
    <w:rsid w:val="000065CA"/>
    <w:rsid w:val="00013414"/>
    <w:rsid w:val="00104753"/>
    <w:rsid w:val="0012007B"/>
    <w:rsid w:val="00122EE1"/>
    <w:rsid w:val="0012664A"/>
    <w:rsid w:val="00133A23"/>
    <w:rsid w:val="00133B0C"/>
    <w:rsid w:val="001F2661"/>
    <w:rsid w:val="001F6FAE"/>
    <w:rsid w:val="002211E8"/>
    <w:rsid w:val="00273280"/>
    <w:rsid w:val="002928E8"/>
    <w:rsid w:val="0029516E"/>
    <w:rsid w:val="002F4508"/>
    <w:rsid w:val="00322D67"/>
    <w:rsid w:val="003263F1"/>
    <w:rsid w:val="003672EA"/>
    <w:rsid w:val="003826A6"/>
    <w:rsid w:val="003B03CF"/>
    <w:rsid w:val="003D0ED6"/>
    <w:rsid w:val="0045292C"/>
    <w:rsid w:val="00477AF8"/>
    <w:rsid w:val="00482085"/>
    <w:rsid w:val="00484E41"/>
    <w:rsid w:val="004972E8"/>
    <w:rsid w:val="004D63BE"/>
    <w:rsid w:val="004F4CFB"/>
    <w:rsid w:val="0051129D"/>
    <w:rsid w:val="00603BD0"/>
    <w:rsid w:val="00610C36"/>
    <w:rsid w:val="00616458"/>
    <w:rsid w:val="006419FC"/>
    <w:rsid w:val="00647814"/>
    <w:rsid w:val="00654659"/>
    <w:rsid w:val="00677905"/>
    <w:rsid w:val="00681B17"/>
    <w:rsid w:val="006C4B44"/>
    <w:rsid w:val="007471EA"/>
    <w:rsid w:val="007544B8"/>
    <w:rsid w:val="00770BE4"/>
    <w:rsid w:val="00781010"/>
    <w:rsid w:val="00786EF7"/>
    <w:rsid w:val="00796637"/>
    <w:rsid w:val="007B0826"/>
    <w:rsid w:val="007B1D08"/>
    <w:rsid w:val="00826BFB"/>
    <w:rsid w:val="00827FD9"/>
    <w:rsid w:val="00856588"/>
    <w:rsid w:val="00885710"/>
    <w:rsid w:val="009272EA"/>
    <w:rsid w:val="00943FBE"/>
    <w:rsid w:val="00997082"/>
    <w:rsid w:val="009B4F84"/>
    <w:rsid w:val="009F5F32"/>
    <w:rsid w:val="00A21BDA"/>
    <w:rsid w:val="00AE410B"/>
    <w:rsid w:val="00B62F98"/>
    <w:rsid w:val="00B7548D"/>
    <w:rsid w:val="00CA5281"/>
    <w:rsid w:val="00CB5D07"/>
    <w:rsid w:val="00CD1B9A"/>
    <w:rsid w:val="00D41163"/>
    <w:rsid w:val="00E12EFD"/>
    <w:rsid w:val="00E50C02"/>
    <w:rsid w:val="00E75734"/>
    <w:rsid w:val="00EC4141"/>
    <w:rsid w:val="00ED30A4"/>
    <w:rsid w:val="00ED63E0"/>
    <w:rsid w:val="00F05014"/>
    <w:rsid w:val="00F8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A5E9"/>
  <w15:docId w15:val="{D6689847-1CAC-493A-948D-62CD7BF0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ED6"/>
    <w:rPr>
      <w:sz w:val="20"/>
      <w:szCs w:val="20"/>
    </w:rPr>
  </w:style>
  <w:style w:type="character" w:customStyle="1" w:styleId="FootnoteTextChar">
    <w:name w:val="Footnote Text Char"/>
    <w:basedOn w:val="DefaultParagraphFont"/>
    <w:link w:val="FootnoteText"/>
    <w:uiPriority w:val="99"/>
    <w:rsid w:val="003D0ED6"/>
    <w:rPr>
      <w:sz w:val="20"/>
      <w:szCs w:val="20"/>
    </w:rPr>
  </w:style>
  <w:style w:type="character" w:styleId="FootnoteReference">
    <w:name w:val="footnote reference"/>
    <w:basedOn w:val="DefaultParagraphFont"/>
    <w:uiPriority w:val="99"/>
    <w:semiHidden/>
    <w:unhideWhenUsed/>
    <w:rsid w:val="003D0ED6"/>
    <w:rPr>
      <w:vertAlign w:val="superscript"/>
    </w:rPr>
  </w:style>
  <w:style w:type="paragraph" w:styleId="ListParagraph">
    <w:name w:val="List Paragraph"/>
    <w:basedOn w:val="Normal"/>
    <w:uiPriority w:val="34"/>
    <w:qFormat/>
    <w:rsid w:val="00B62F98"/>
    <w:pPr>
      <w:ind w:left="720"/>
      <w:contextualSpacing/>
    </w:pPr>
  </w:style>
  <w:style w:type="paragraph" w:styleId="BalloonText">
    <w:name w:val="Balloon Text"/>
    <w:basedOn w:val="Normal"/>
    <w:link w:val="BalloonTextChar"/>
    <w:uiPriority w:val="99"/>
    <w:semiHidden/>
    <w:unhideWhenUsed/>
    <w:rsid w:val="00E75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D064-D6B4-49A1-B69A-1CEFD283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cp:lastModifiedBy>
  <cp:revision>2</cp:revision>
  <cp:lastPrinted>2018-02-20T00:06:00Z</cp:lastPrinted>
  <dcterms:created xsi:type="dcterms:W3CDTF">2019-04-29T04:04:00Z</dcterms:created>
  <dcterms:modified xsi:type="dcterms:W3CDTF">2019-04-29T04:04:00Z</dcterms:modified>
</cp:coreProperties>
</file>