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B6" w:rsidRDefault="005E0EB6" w:rsidP="005E0EB6">
      <w:pPr>
        <w:spacing w:line="240" w:lineRule="auto"/>
        <w:jc w:val="center"/>
        <w:rPr>
          <w:b/>
          <w:sz w:val="24"/>
          <w:szCs w:val="24"/>
        </w:rPr>
      </w:pPr>
      <w:r w:rsidRPr="005D18A5">
        <w:rPr>
          <w:b/>
          <w:sz w:val="24"/>
          <w:szCs w:val="24"/>
        </w:rPr>
        <w:t>BEFORE THE GUAM PUBLIC UTILITIES COMMISSION</w:t>
      </w:r>
    </w:p>
    <w:p w:rsidR="005E0EB6" w:rsidRPr="005D18A5" w:rsidRDefault="005E0EB6" w:rsidP="005E0EB6">
      <w:pPr>
        <w:spacing w:line="240" w:lineRule="auto"/>
        <w:jc w:val="center"/>
        <w:rPr>
          <w:b/>
          <w:sz w:val="24"/>
          <w:szCs w:val="24"/>
        </w:rPr>
      </w:pPr>
    </w:p>
    <w:tbl>
      <w:tblPr>
        <w:tblW w:w="9100" w:type="dxa"/>
        <w:tblLayout w:type="fixed"/>
        <w:tblCellMar>
          <w:left w:w="0" w:type="dxa"/>
          <w:right w:w="0" w:type="dxa"/>
        </w:tblCellMar>
        <w:tblLook w:val="0000"/>
      </w:tblPr>
      <w:tblGrid>
        <w:gridCol w:w="4320"/>
        <w:gridCol w:w="360"/>
        <w:gridCol w:w="4420"/>
      </w:tblGrid>
      <w:tr w:rsidR="005E0EB6" w:rsidRPr="00AE30C0" w:rsidTr="00B3389D">
        <w:tc>
          <w:tcPr>
            <w:tcW w:w="4320" w:type="dxa"/>
            <w:shd w:val="clear" w:color="auto" w:fill="auto"/>
          </w:tcPr>
          <w:p w:rsidR="005E0EB6" w:rsidRPr="00AE30C0" w:rsidRDefault="005E0EB6" w:rsidP="005E0EB6">
            <w:pPr>
              <w:spacing w:line="240" w:lineRule="auto"/>
              <w:jc w:val="both"/>
              <w:rPr>
                <w:sz w:val="24"/>
                <w:szCs w:val="24"/>
              </w:rPr>
            </w:pPr>
            <w:bookmarkStart w:id="0" w:name="Parties"/>
            <w:bookmarkEnd w:id="0"/>
          </w:p>
          <w:p w:rsidR="005E0EB6" w:rsidRDefault="005E0EB6" w:rsidP="00B71C8A">
            <w:pPr>
              <w:tabs>
                <w:tab w:val="left" w:pos="900"/>
              </w:tabs>
              <w:spacing w:line="240" w:lineRule="auto"/>
              <w:ind w:left="900" w:hanging="900"/>
              <w:rPr>
                <w:b/>
                <w:sz w:val="24"/>
                <w:szCs w:val="24"/>
              </w:rPr>
            </w:pPr>
            <w:r>
              <w:rPr>
                <w:b/>
                <w:sz w:val="24"/>
                <w:szCs w:val="24"/>
              </w:rPr>
              <w:t xml:space="preserve">IN RE: </w:t>
            </w:r>
            <w:r>
              <w:rPr>
                <w:b/>
                <w:sz w:val="24"/>
                <w:szCs w:val="24"/>
              </w:rPr>
              <w:tab/>
            </w:r>
            <w:r w:rsidRPr="005D18A5">
              <w:rPr>
                <w:b/>
                <w:sz w:val="24"/>
                <w:szCs w:val="24"/>
              </w:rPr>
              <w:t>REQUEST BY THE</w:t>
            </w:r>
            <w:r>
              <w:rPr>
                <w:b/>
                <w:sz w:val="24"/>
                <w:szCs w:val="24"/>
              </w:rPr>
              <w:t xml:space="preserve"> GUAM WATERWORKS AUTHORITY </w:t>
            </w:r>
            <w:r w:rsidR="00690AB1">
              <w:rPr>
                <w:b/>
                <w:sz w:val="24"/>
                <w:szCs w:val="24"/>
              </w:rPr>
              <w:t xml:space="preserve">TO </w:t>
            </w:r>
            <w:r w:rsidR="00B71C8A">
              <w:rPr>
                <w:b/>
                <w:sz w:val="24"/>
                <w:szCs w:val="24"/>
              </w:rPr>
              <w:t>REALLOCATE $29.6 MILLION OF 2010, 2013 &amp; 2016 BOND PROCEEDS</w:t>
            </w:r>
          </w:p>
          <w:p w:rsidR="00B66682" w:rsidRPr="00B66682" w:rsidRDefault="00B66682" w:rsidP="00B71C8A">
            <w:pPr>
              <w:tabs>
                <w:tab w:val="left" w:pos="900"/>
              </w:tabs>
              <w:spacing w:line="240" w:lineRule="auto"/>
              <w:ind w:left="900" w:hanging="900"/>
              <w:rPr>
                <w:sz w:val="24"/>
                <w:szCs w:val="24"/>
              </w:rPr>
            </w:pPr>
            <w:r w:rsidRPr="00B66682">
              <w:rPr>
                <w:sz w:val="24"/>
                <w:szCs w:val="24"/>
                <w:u w:val="single"/>
              </w:rPr>
              <w:tab/>
            </w:r>
            <w:r w:rsidRPr="00B66682">
              <w:rPr>
                <w:sz w:val="24"/>
                <w:szCs w:val="24"/>
                <w:u w:val="single"/>
              </w:rPr>
              <w:tab/>
            </w:r>
            <w:r w:rsidRPr="00B66682">
              <w:rPr>
                <w:sz w:val="24"/>
                <w:szCs w:val="24"/>
                <w:u w:val="single"/>
              </w:rPr>
              <w:tab/>
            </w:r>
            <w:r w:rsidRPr="00B66682">
              <w:rPr>
                <w:sz w:val="24"/>
                <w:szCs w:val="24"/>
                <w:u w:val="single"/>
              </w:rPr>
              <w:tab/>
            </w:r>
            <w:r w:rsidRPr="00B66682">
              <w:rPr>
                <w:sz w:val="24"/>
                <w:szCs w:val="24"/>
                <w:u w:val="single"/>
              </w:rPr>
              <w:tab/>
            </w:r>
            <w:r w:rsidRPr="00B66682">
              <w:rPr>
                <w:sz w:val="24"/>
                <w:szCs w:val="24"/>
                <w:u w:val="single"/>
              </w:rPr>
              <w:tab/>
            </w:r>
          </w:p>
          <w:p w:rsidR="005E0EB6" w:rsidRPr="005D18A5" w:rsidRDefault="005E0EB6" w:rsidP="005E0EB6">
            <w:pPr>
              <w:tabs>
                <w:tab w:val="left" w:pos="1100"/>
              </w:tabs>
              <w:spacing w:line="240" w:lineRule="auto"/>
              <w:ind w:left="1100" w:hanging="1100"/>
              <w:rPr>
                <w:b/>
                <w:sz w:val="24"/>
                <w:szCs w:val="24"/>
              </w:rPr>
            </w:pPr>
          </w:p>
        </w:tc>
        <w:tc>
          <w:tcPr>
            <w:tcW w:w="360" w:type="dxa"/>
            <w:shd w:val="clear" w:color="auto" w:fill="auto"/>
          </w:tcPr>
          <w:p w:rsidR="005E0EB6" w:rsidRPr="00AE30C0" w:rsidRDefault="005E0EB6" w:rsidP="005E0EB6">
            <w:pPr>
              <w:spacing w:line="240" w:lineRule="auto"/>
              <w:jc w:val="both"/>
              <w:rPr>
                <w:sz w:val="24"/>
                <w:szCs w:val="24"/>
              </w:rPr>
            </w:pPr>
            <w:r w:rsidRPr="00AE30C0">
              <w:rPr>
                <w:sz w:val="24"/>
                <w:szCs w:val="24"/>
              </w:rPr>
              <w:t>)</w:t>
            </w:r>
          </w:p>
          <w:p w:rsidR="005E0EB6" w:rsidRPr="00AE30C0" w:rsidRDefault="005E0EB6" w:rsidP="005E0EB6">
            <w:pPr>
              <w:spacing w:line="240" w:lineRule="auto"/>
              <w:jc w:val="both"/>
              <w:rPr>
                <w:sz w:val="24"/>
                <w:szCs w:val="24"/>
              </w:rPr>
            </w:pPr>
            <w:r w:rsidRPr="00AE30C0">
              <w:rPr>
                <w:sz w:val="24"/>
                <w:szCs w:val="24"/>
              </w:rPr>
              <w:t>)</w:t>
            </w:r>
          </w:p>
          <w:p w:rsidR="005E0EB6" w:rsidRPr="00AE30C0" w:rsidRDefault="005E0EB6" w:rsidP="005E0EB6">
            <w:pPr>
              <w:spacing w:line="240" w:lineRule="auto"/>
              <w:jc w:val="both"/>
              <w:rPr>
                <w:sz w:val="24"/>
                <w:szCs w:val="24"/>
              </w:rPr>
            </w:pPr>
            <w:r w:rsidRPr="00AE30C0">
              <w:rPr>
                <w:sz w:val="24"/>
                <w:szCs w:val="24"/>
              </w:rPr>
              <w:t>)</w:t>
            </w:r>
          </w:p>
          <w:p w:rsidR="005E0EB6" w:rsidRPr="00AE30C0" w:rsidRDefault="005E0EB6" w:rsidP="005E0EB6">
            <w:pPr>
              <w:spacing w:line="240" w:lineRule="auto"/>
              <w:jc w:val="both"/>
              <w:rPr>
                <w:sz w:val="24"/>
                <w:szCs w:val="24"/>
              </w:rPr>
            </w:pPr>
            <w:r w:rsidRPr="00AE30C0">
              <w:rPr>
                <w:sz w:val="24"/>
                <w:szCs w:val="24"/>
              </w:rPr>
              <w:t>)</w:t>
            </w:r>
          </w:p>
          <w:p w:rsidR="005E0EB6" w:rsidRPr="00AE30C0" w:rsidRDefault="005E0EB6" w:rsidP="005E0EB6">
            <w:pPr>
              <w:spacing w:line="240" w:lineRule="auto"/>
              <w:jc w:val="both"/>
              <w:rPr>
                <w:sz w:val="24"/>
                <w:szCs w:val="24"/>
              </w:rPr>
            </w:pPr>
            <w:r w:rsidRPr="00AE30C0">
              <w:rPr>
                <w:sz w:val="24"/>
                <w:szCs w:val="24"/>
              </w:rPr>
              <w:t>)</w:t>
            </w:r>
          </w:p>
          <w:p w:rsidR="005E0EB6" w:rsidRDefault="005E0EB6" w:rsidP="005E0EB6">
            <w:pPr>
              <w:spacing w:line="240" w:lineRule="auto"/>
              <w:jc w:val="both"/>
              <w:rPr>
                <w:sz w:val="24"/>
                <w:szCs w:val="24"/>
              </w:rPr>
            </w:pPr>
            <w:r>
              <w:rPr>
                <w:sz w:val="24"/>
                <w:szCs w:val="24"/>
              </w:rPr>
              <w:t>)</w:t>
            </w:r>
          </w:p>
          <w:p w:rsidR="00B66682" w:rsidRPr="00AE30C0" w:rsidRDefault="00B66682" w:rsidP="005E0EB6">
            <w:pPr>
              <w:spacing w:line="240" w:lineRule="auto"/>
              <w:jc w:val="both"/>
              <w:rPr>
                <w:sz w:val="24"/>
                <w:szCs w:val="24"/>
              </w:rPr>
            </w:pPr>
            <w:r>
              <w:rPr>
                <w:sz w:val="24"/>
                <w:szCs w:val="24"/>
              </w:rPr>
              <w:t>)</w:t>
            </w:r>
          </w:p>
        </w:tc>
        <w:tc>
          <w:tcPr>
            <w:tcW w:w="4420" w:type="dxa"/>
            <w:shd w:val="clear" w:color="auto" w:fill="auto"/>
          </w:tcPr>
          <w:p w:rsidR="005E0EB6" w:rsidRPr="005D18A5" w:rsidRDefault="005E0EB6" w:rsidP="005E0EB6">
            <w:pPr>
              <w:spacing w:line="240" w:lineRule="auto"/>
              <w:jc w:val="both"/>
              <w:rPr>
                <w:b/>
                <w:sz w:val="24"/>
                <w:szCs w:val="24"/>
              </w:rPr>
            </w:pPr>
            <w:bookmarkStart w:id="1" w:name="CaseNumber"/>
            <w:bookmarkEnd w:id="1"/>
            <w:r w:rsidRPr="00AE30C0">
              <w:rPr>
                <w:sz w:val="24"/>
                <w:szCs w:val="24"/>
              </w:rPr>
              <w:tab/>
            </w:r>
            <w:r w:rsidR="00045A5D" w:rsidRPr="00AB1B30">
              <w:rPr>
                <w:b/>
                <w:sz w:val="24"/>
                <w:szCs w:val="24"/>
              </w:rPr>
              <w:t>GWA DOCKET</w:t>
            </w:r>
            <w:r w:rsidR="00045A5D">
              <w:rPr>
                <w:b/>
                <w:sz w:val="24"/>
                <w:szCs w:val="24"/>
              </w:rPr>
              <w:t xml:space="preserve"> </w:t>
            </w:r>
            <w:r w:rsidR="00B66682">
              <w:rPr>
                <w:b/>
                <w:sz w:val="24"/>
                <w:szCs w:val="24"/>
              </w:rPr>
              <w:t>17-04</w:t>
            </w:r>
          </w:p>
          <w:p w:rsidR="005E0EB6" w:rsidRPr="00AE30C0" w:rsidRDefault="005E0EB6" w:rsidP="005E0EB6">
            <w:pPr>
              <w:spacing w:line="240" w:lineRule="auto"/>
              <w:jc w:val="both"/>
              <w:rPr>
                <w:sz w:val="24"/>
                <w:szCs w:val="24"/>
              </w:rPr>
            </w:pPr>
          </w:p>
          <w:p w:rsidR="005E0EB6" w:rsidRPr="005D18A5" w:rsidRDefault="005E0EB6" w:rsidP="005E0EB6">
            <w:pPr>
              <w:spacing w:line="240" w:lineRule="auto"/>
              <w:jc w:val="both"/>
              <w:rPr>
                <w:b/>
                <w:sz w:val="24"/>
                <w:szCs w:val="24"/>
              </w:rPr>
            </w:pPr>
          </w:p>
          <w:p w:rsidR="005E0EB6" w:rsidRDefault="005E0EB6" w:rsidP="005E0EB6">
            <w:pPr>
              <w:spacing w:line="240" w:lineRule="auto"/>
              <w:jc w:val="both"/>
              <w:rPr>
                <w:b/>
                <w:sz w:val="24"/>
                <w:szCs w:val="24"/>
              </w:rPr>
            </w:pPr>
            <w:r>
              <w:rPr>
                <w:sz w:val="24"/>
                <w:szCs w:val="24"/>
              </w:rPr>
              <w:tab/>
            </w:r>
            <w:r w:rsidR="00DF260B">
              <w:rPr>
                <w:b/>
                <w:sz w:val="24"/>
                <w:szCs w:val="24"/>
              </w:rPr>
              <w:t>ORDER</w:t>
            </w:r>
          </w:p>
          <w:p w:rsidR="005E0EB6" w:rsidRPr="005A1A94" w:rsidRDefault="005E0EB6" w:rsidP="00FD228F">
            <w:pPr>
              <w:spacing w:line="240" w:lineRule="auto"/>
              <w:jc w:val="both"/>
              <w:rPr>
                <w:b/>
                <w:sz w:val="24"/>
                <w:szCs w:val="24"/>
              </w:rPr>
            </w:pPr>
          </w:p>
        </w:tc>
      </w:tr>
    </w:tbl>
    <w:p w:rsidR="005E0EB6" w:rsidRDefault="005E0EB6" w:rsidP="00D3453D">
      <w:pPr>
        <w:spacing w:line="240" w:lineRule="auto"/>
        <w:rPr>
          <w:b/>
          <w:sz w:val="24"/>
          <w:szCs w:val="24"/>
          <w:u w:val="single"/>
        </w:rPr>
      </w:pPr>
    </w:p>
    <w:p w:rsidR="00FE7C6A" w:rsidRPr="00FE7C6A" w:rsidRDefault="00FE7C6A" w:rsidP="00FE7C6A">
      <w:pPr>
        <w:spacing w:line="480" w:lineRule="auto"/>
        <w:jc w:val="center"/>
        <w:rPr>
          <w:rFonts w:eastAsia="Calibri"/>
          <w:b/>
          <w:sz w:val="24"/>
          <w:szCs w:val="24"/>
          <w:u w:val="single"/>
        </w:rPr>
      </w:pPr>
      <w:r w:rsidRPr="00FE7C6A">
        <w:rPr>
          <w:rFonts w:eastAsia="Calibri"/>
          <w:b/>
          <w:sz w:val="24"/>
          <w:szCs w:val="24"/>
          <w:u w:val="single"/>
        </w:rPr>
        <w:t>INTRODUCTION</w:t>
      </w:r>
    </w:p>
    <w:p w:rsidR="008D65F0" w:rsidRDefault="00FE7C6A" w:rsidP="008D65F0">
      <w:pPr>
        <w:spacing w:line="480" w:lineRule="auto"/>
        <w:jc w:val="both"/>
        <w:rPr>
          <w:rFonts w:eastAsia="Calibri"/>
          <w:sz w:val="24"/>
          <w:szCs w:val="24"/>
        </w:rPr>
      </w:pPr>
      <w:r w:rsidRPr="00FE7C6A">
        <w:rPr>
          <w:rFonts w:eastAsia="Calibri"/>
          <w:sz w:val="24"/>
          <w:szCs w:val="24"/>
        </w:rPr>
        <w:tab/>
      </w:r>
      <w:r w:rsidRPr="00FE7C6A">
        <w:rPr>
          <w:rFonts w:eastAsia="Calibri"/>
          <w:sz w:val="24"/>
          <w:szCs w:val="24"/>
        </w:rPr>
        <w:tab/>
      </w:r>
      <w:r w:rsidR="008D65F0" w:rsidRPr="008D65F0">
        <w:rPr>
          <w:rFonts w:eastAsia="Calibri"/>
          <w:sz w:val="24"/>
          <w:szCs w:val="24"/>
        </w:rPr>
        <w:t xml:space="preserve">This matter comes before the Guam Public Utilities Commission (the “PUC”) at the request of Petitioner Guam Waterworks Authority (“GWA”) for approval to reprogram projects funded by GWA’s </w:t>
      </w:r>
      <w:r w:rsidR="00B66682">
        <w:rPr>
          <w:rFonts w:eastAsia="Calibri"/>
          <w:sz w:val="24"/>
          <w:szCs w:val="24"/>
        </w:rPr>
        <w:t>2010, 2013 and 2016 Bond</w:t>
      </w:r>
      <w:r w:rsidR="008D65F0" w:rsidRPr="008D65F0">
        <w:rPr>
          <w:rFonts w:eastAsia="Calibri"/>
          <w:sz w:val="24"/>
          <w:szCs w:val="24"/>
        </w:rPr>
        <w:t xml:space="preserve"> proceeds, filed with the PUC on </w:t>
      </w:r>
      <w:r w:rsidR="00B66682">
        <w:rPr>
          <w:rFonts w:eastAsia="Calibri"/>
          <w:sz w:val="24"/>
          <w:szCs w:val="24"/>
        </w:rPr>
        <w:t>February 13, 2017</w:t>
      </w:r>
      <w:r w:rsidR="008D65F0" w:rsidRPr="008D65F0">
        <w:rPr>
          <w:rFonts w:eastAsia="Calibri"/>
          <w:sz w:val="24"/>
          <w:szCs w:val="24"/>
        </w:rPr>
        <w:t>.</w:t>
      </w:r>
    </w:p>
    <w:p w:rsidR="0097347F" w:rsidRDefault="0097347F" w:rsidP="0097347F">
      <w:pPr>
        <w:spacing w:line="480" w:lineRule="auto"/>
        <w:jc w:val="both"/>
        <w:rPr>
          <w:sz w:val="24"/>
          <w:szCs w:val="24"/>
        </w:rPr>
      </w:pPr>
      <w:r>
        <w:rPr>
          <w:rFonts w:eastAsia="Calibri"/>
          <w:sz w:val="24"/>
          <w:szCs w:val="24"/>
        </w:rPr>
        <w:tab/>
      </w:r>
      <w:r>
        <w:rPr>
          <w:rFonts w:eastAsia="Calibri"/>
          <w:sz w:val="24"/>
          <w:szCs w:val="24"/>
        </w:rPr>
        <w:tab/>
      </w:r>
      <w:r w:rsidRPr="0097347F">
        <w:rPr>
          <w:sz w:val="24"/>
          <w:szCs w:val="24"/>
        </w:rPr>
        <w:t>On February 22, 2017, the Administrative Law Judge of the PUC Joephet R. Alcantara (the “</w:t>
      </w:r>
      <w:proofErr w:type="spellStart"/>
      <w:r w:rsidRPr="0097347F">
        <w:rPr>
          <w:sz w:val="24"/>
          <w:szCs w:val="24"/>
        </w:rPr>
        <w:t>ALJ</w:t>
      </w:r>
      <w:proofErr w:type="spellEnd"/>
      <w:r w:rsidRPr="0097347F">
        <w:rPr>
          <w:sz w:val="24"/>
          <w:szCs w:val="24"/>
        </w:rPr>
        <w:t xml:space="preserve">”) filed a report regarding the instant Petition, which included his findings and recommendations based on the administrative record before the PUC.  The </w:t>
      </w:r>
      <w:proofErr w:type="spellStart"/>
      <w:r w:rsidRPr="0097347F">
        <w:rPr>
          <w:sz w:val="24"/>
          <w:szCs w:val="24"/>
        </w:rPr>
        <w:t>ALJ</w:t>
      </w:r>
      <w:proofErr w:type="spellEnd"/>
      <w:r w:rsidRPr="0097347F">
        <w:rPr>
          <w:sz w:val="24"/>
          <w:szCs w:val="24"/>
        </w:rPr>
        <w:t xml:space="preserve"> found the following.</w:t>
      </w:r>
    </w:p>
    <w:p w:rsidR="00FE7C6A" w:rsidRPr="00FE7C6A" w:rsidRDefault="00DF260B" w:rsidP="00FE7C6A">
      <w:pPr>
        <w:spacing w:line="480" w:lineRule="auto"/>
        <w:jc w:val="center"/>
        <w:rPr>
          <w:rFonts w:eastAsia="Calibri"/>
          <w:b/>
          <w:sz w:val="24"/>
          <w:szCs w:val="24"/>
          <w:u w:val="single"/>
        </w:rPr>
      </w:pPr>
      <w:r>
        <w:rPr>
          <w:rFonts w:eastAsia="Calibri"/>
          <w:b/>
          <w:sz w:val="24"/>
          <w:szCs w:val="24"/>
          <w:u w:val="single"/>
        </w:rPr>
        <w:t>DETERMINATIONS</w:t>
      </w:r>
    </w:p>
    <w:p w:rsidR="00497899" w:rsidRDefault="00FE7C6A" w:rsidP="00497899">
      <w:pPr>
        <w:spacing w:line="480" w:lineRule="auto"/>
        <w:jc w:val="both"/>
        <w:rPr>
          <w:rFonts w:eastAsia="Calibri"/>
          <w:b/>
          <w:sz w:val="24"/>
          <w:szCs w:val="24"/>
          <w:u w:val="single"/>
        </w:rPr>
      </w:pPr>
      <w:r w:rsidRPr="00FE7C6A">
        <w:rPr>
          <w:rFonts w:eastAsia="Calibri"/>
          <w:b/>
          <w:sz w:val="24"/>
          <w:szCs w:val="24"/>
        </w:rPr>
        <w:tab/>
        <w:t>A.</w:t>
      </w:r>
      <w:r w:rsidRPr="00FE7C6A">
        <w:rPr>
          <w:rFonts w:eastAsia="Calibri"/>
          <w:b/>
          <w:sz w:val="24"/>
          <w:szCs w:val="24"/>
        </w:rPr>
        <w:tab/>
      </w:r>
      <w:r w:rsidR="00825D1D">
        <w:rPr>
          <w:rFonts w:eastAsia="Calibri"/>
          <w:b/>
          <w:sz w:val="24"/>
          <w:szCs w:val="24"/>
          <w:u w:val="single"/>
        </w:rPr>
        <w:t>Reallocation</w:t>
      </w:r>
    </w:p>
    <w:p w:rsidR="00497899" w:rsidRDefault="00FE7C6A" w:rsidP="00497899">
      <w:pPr>
        <w:spacing w:line="480" w:lineRule="auto"/>
        <w:jc w:val="both"/>
        <w:rPr>
          <w:sz w:val="24"/>
          <w:szCs w:val="24"/>
        </w:rPr>
      </w:pPr>
      <w:r w:rsidRPr="00FE7C6A">
        <w:rPr>
          <w:rFonts w:eastAsia="Calibri"/>
          <w:sz w:val="24"/>
          <w:szCs w:val="24"/>
        </w:rPr>
        <w:tab/>
      </w:r>
      <w:r w:rsidRPr="00FE7C6A">
        <w:rPr>
          <w:rFonts w:eastAsia="Calibri"/>
          <w:sz w:val="24"/>
          <w:szCs w:val="24"/>
        </w:rPr>
        <w:tab/>
        <w:t xml:space="preserve">In its Petition, </w:t>
      </w:r>
      <w:proofErr w:type="spellStart"/>
      <w:r w:rsidRPr="00FE7C6A">
        <w:rPr>
          <w:rFonts w:eastAsia="Calibri"/>
          <w:sz w:val="24"/>
          <w:szCs w:val="24"/>
        </w:rPr>
        <w:t>GWA</w:t>
      </w:r>
      <w:proofErr w:type="spellEnd"/>
      <w:r w:rsidRPr="00FE7C6A">
        <w:rPr>
          <w:rFonts w:eastAsia="Calibri"/>
          <w:sz w:val="24"/>
          <w:szCs w:val="24"/>
        </w:rPr>
        <w:t xml:space="preserve"> s</w:t>
      </w:r>
      <w:r w:rsidR="0097347F">
        <w:rPr>
          <w:rFonts w:eastAsia="Calibri"/>
          <w:sz w:val="24"/>
          <w:szCs w:val="24"/>
        </w:rPr>
        <w:t>ought</w:t>
      </w:r>
      <w:r w:rsidRPr="00FE7C6A">
        <w:rPr>
          <w:rFonts w:eastAsia="Calibri"/>
          <w:sz w:val="24"/>
          <w:szCs w:val="24"/>
        </w:rPr>
        <w:t xml:space="preserve"> approval to reallocate $</w:t>
      </w:r>
      <w:r w:rsidR="00497899">
        <w:rPr>
          <w:rFonts w:eastAsia="Calibri"/>
          <w:sz w:val="24"/>
          <w:szCs w:val="24"/>
        </w:rPr>
        <w:t xml:space="preserve">29.6 million of 2010, 2013, and 2016 bond funds to </w:t>
      </w:r>
      <w:r w:rsidR="00497899">
        <w:rPr>
          <w:sz w:val="24"/>
          <w:szCs w:val="24"/>
        </w:rPr>
        <w:t xml:space="preserve">advance the timing of certain capital improvement </w:t>
      </w:r>
      <w:r w:rsidR="00497899" w:rsidRPr="0041777A">
        <w:rPr>
          <w:sz w:val="24"/>
          <w:szCs w:val="24"/>
        </w:rPr>
        <w:t>projects</w:t>
      </w:r>
      <w:r w:rsidR="00497899">
        <w:rPr>
          <w:sz w:val="24"/>
          <w:szCs w:val="24"/>
        </w:rPr>
        <w:t>.</w:t>
      </w:r>
      <w:r w:rsidR="00497899">
        <w:rPr>
          <w:rStyle w:val="FootnoteReference"/>
          <w:sz w:val="24"/>
          <w:szCs w:val="24"/>
        </w:rPr>
        <w:footnoteReference w:id="1"/>
      </w:r>
      <w:r w:rsidR="00497899">
        <w:rPr>
          <w:sz w:val="24"/>
          <w:szCs w:val="24"/>
        </w:rPr>
        <w:t xml:space="preserve">  </w:t>
      </w:r>
      <w:proofErr w:type="spellStart"/>
      <w:r w:rsidR="00497899">
        <w:rPr>
          <w:sz w:val="24"/>
          <w:szCs w:val="24"/>
        </w:rPr>
        <w:t>GWA</w:t>
      </w:r>
      <w:proofErr w:type="spellEnd"/>
      <w:r w:rsidR="00497899">
        <w:rPr>
          <w:sz w:val="24"/>
          <w:szCs w:val="24"/>
        </w:rPr>
        <w:t xml:space="preserve"> submit</w:t>
      </w:r>
      <w:r w:rsidR="0097347F">
        <w:rPr>
          <w:sz w:val="24"/>
          <w:szCs w:val="24"/>
        </w:rPr>
        <w:t>ted</w:t>
      </w:r>
      <w:r w:rsidR="00497899">
        <w:rPr>
          <w:sz w:val="24"/>
          <w:szCs w:val="24"/>
        </w:rPr>
        <w:t xml:space="preserve"> that these projects are required </w:t>
      </w:r>
      <w:r w:rsidRPr="00FE7C6A">
        <w:rPr>
          <w:rFonts w:eastAsia="Calibri"/>
          <w:sz w:val="24"/>
          <w:szCs w:val="24"/>
        </w:rPr>
        <w:t xml:space="preserve">under the November 10, 2011 Order for Preliminary Relief Re: Deadlines for Outstanding Projects under the Amended Stipulated Order issued by the District Court of Guam in </w:t>
      </w:r>
      <w:r w:rsidRPr="000C28FA">
        <w:rPr>
          <w:rFonts w:eastAsia="Calibri"/>
          <w:sz w:val="24"/>
          <w:szCs w:val="24"/>
          <w:u w:val="single"/>
        </w:rPr>
        <w:t>U.S. v. Guam Waterworks Authority</w:t>
      </w:r>
      <w:r w:rsidRPr="00FE7C6A">
        <w:rPr>
          <w:rFonts w:eastAsia="Calibri"/>
          <w:sz w:val="24"/>
          <w:szCs w:val="24"/>
        </w:rPr>
        <w:t xml:space="preserve">, Civil </w:t>
      </w:r>
      <w:r w:rsidRPr="00FE7C6A">
        <w:rPr>
          <w:rFonts w:eastAsia="Calibri"/>
          <w:sz w:val="24"/>
          <w:szCs w:val="24"/>
        </w:rPr>
        <w:lastRenderedPageBreak/>
        <w:t>Case No. 02-00035 (hereinafter referred to as the “Amended Stipulated Order</w:t>
      </w:r>
      <w:r w:rsidR="00C27FD2">
        <w:rPr>
          <w:rFonts w:eastAsia="Calibri"/>
          <w:sz w:val="24"/>
          <w:szCs w:val="24"/>
        </w:rPr>
        <w:t>”).</w:t>
      </w:r>
      <w:r w:rsidR="00497899">
        <w:rPr>
          <w:rStyle w:val="FootnoteReference"/>
          <w:rFonts w:eastAsia="Calibri"/>
          <w:sz w:val="24"/>
          <w:szCs w:val="24"/>
        </w:rPr>
        <w:footnoteReference w:id="2"/>
      </w:r>
      <w:r w:rsidR="00732E7E">
        <w:rPr>
          <w:rFonts w:eastAsia="Calibri"/>
          <w:sz w:val="24"/>
          <w:szCs w:val="24"/>
        </w:rPr>
        <w:t xml:space="preserve">  In particular, </w:t>
      </w:r>
      <w:r w:rsidR="00497899" w:rsidRPr="00F93BD4">
        <w:rPr>
          <w:sz w:val="24"/>
          <w:szCs w:val="24"/>
        </w:rPr>
        <w:t>GWA intends to execute contracts for the following two major projects: the Baza Gardens Wastewater Conveyance and Pump Phase III by April</w:t>
      </w:r>
      <w:r w:rsidR="009A7536">
        <w:rPr>
          <w:sz w:val="24"/>
          <w:szCs w:val="24"/>
        </w:rPr>
        <w:t>,</w:t>
      </w:r>
      <w:r w:rsidR="00497899" w:rsidRPr="00F93BD4">
        <w:rPr>
          <w:sz w:val="24"/>
          <w:szCs w:val="24"/>
        </w:rPr>
        <w:t xml:space="preserve"> </w:t>
      </w:r>
      <w:r w:rsidR="007739BA">
        <w:rPr>
          <w:sz w:val="24"/>
          <w:szCs w:val="24"/>
        </w:rPr>
        <w:t xml:space="preserve">2017; and the </w:t>
      </w:r>
      <w:proofErr w:type="spellStart"/>
      <w:r w:rsidR="007739BA">
        <w:rPr>
          <w:sz w:val="24"/>
          <w:szCs w:val="24"/>
        </w:rPr>
        <w:t>Umatac</w:t>
      </w:r>
      <w:proofErr w:type="spellEnd"/>
      <w:r w:rsidR="007739BA">
        <w:rPr>
          <w:sz w:val="24"/>
          <w:szCs w:val="24"/>
        </w:rPr>
        <w:t>/</w:t>
      </w:r>
      <w:proofErr w:type="spellStart"/>
      <w:r w:rsidR="007739BA">
        <w:rPr>
          <w:sz w:val="24"/>
          <w:szCs w:val="24"/>
        </w:rPr>
        <w:t>Merizo</w:t>
      </w:r>
      <w:proofErr w:type="spellEnd"/>
      <w:r w:rsidR="007739BA">
        <w:rPr>
          <w:sz w:val="24"/>
          <w:szCs w:val="24"/>
        </w:rPr>
        <w:t xml:space="preserve"> Wastewater Treatment Plant (“WWTP”)</w:t>
      </w:r>
      <w:r w:rsidR="00497899" w:rsidRPr="00F93BD4">
        <w:rPr>
          <w:sz w:val="24"/>
          <w:szCs w:val="24"/>
        </w:rPr>
        <w:t xml:space="preserve"> Improvements Design Build project by June</w:t>
      </w:r>
      <w:r w:rsidR="009A7536">
        <w:rPr>
          <w:sz w:val="24"/>
          <w:szCs w:val="24"/>
        </w:rPr>
        <w:t>,</w:t>
      </w:r>
      <w:r w:rsidR="00497899" w:rsidRPr="00F93BD4">
        <w:rPr>
          <w:sz w:val="24"/>
          <w:szCs w:val="24"/>
        </w:rPr>
        <w:t xml:space="preserve"> 2017.</w:t>
      </w:r>
      <w:r w:rsidR="00497899">
        <w:rPr>
          <w:rStyle w:val="FootnoteReference"/>
          <w:sz w:val="24"/>
          <w:szCs w:val="24"/>
        </w:rPr>
        <w:footnoteReference w:id="3"/>
      </w:r>
      <w:r w:rsidR="00497899">
        <w:rPr>
          <w:sz w:val="24"/>
          <w:szCs w:val="24"/>
        </w:rPr>
        <w:t xml:space="preserve">  </w:t>
      </w:r>
    </w:p>
    <w:p w:rsidR="00732E7E" w:rsidRDefault="00A678A5" w:rsidP="00FE7C6A">
      <w:pPr>
        <w:spacing w:line="480" w:lineRule="auto"/>
        <w:jc w:val="both"/>
        <w:rPr>
          <w:rFonts w:eastAsia="Calibri"/>
          <w:sz w:val="24"/>
          <w:szCs w:val="24"/>
        </w:rPr>
      </w:pPr>
      <w:r>
        <w:rPr>
          <w:sz w:val="24"/>
          <w:szCs w:val="24"/>
        </w:rPr>
        <w:tab/>
      </w:r>
      <w:r>
        <w:rPr>
          <w:sz w:val="24"/>
          <w:szCs w:val="24"/>
        </w:rPr>
        <w:tab/>
      </w:r>
      <w:proofErr w:type="spellStart"/>
      <w:r>
        <w:rPr>
          <w:sz w:val="24"/>
          <w:szCs w:val="24"/>
        </w:rPr>
        <w:t>GWA</w:t>
      </w:r>
      <w:proofErr w:type="spellEnd"/>
      <w:r>
        <w:rPr>
          <w:sz w:val="24"/>
          <w:szCs w:val="24"/>
        </w:rPr>
        <w:t xml:space="preserve"> </w:t>
      </w:r>
      <w:r w:rsidR="0097347F">
        <w:rPr>
          <w:sz w:val="24"/>
          <w:szCs w:val="24"/>
        </w:rPr>
        <w:t>maintained</w:t>
      </w:r>
      <w:r>
        <w:rPr>
          <w:sz w:val="24"/>
          <w:szCs w:val="24"/>
        </w:rPr>
        <w:t xml:space="preserve"> that the Baza Gardens </w:t>
      </w:r>
      <w:proofErr w:type="spellStart"/>
      <w:r>
        <w:rPr>
          <w:sz w:val="24"/>
          <w:szCs w:val="24"/>
        </w:rPr>
        <w:t>WWTP</w:t>
      </w:r>
      <w:proofErr w:type="spellEnd"/>
      <w:r>
        <w:rPr>
          <w:sz w:val="24"/>
          <w:szCs w:val="24"/>
        </w:rPr>
        <w:t xml:space="preserve"> project must be substantially completed by April 30, 2018, and that the entire amount of the contract funding must be “in place and available on the date the contract is executed” for the </w:t>
      </w:r>
      <w:proofErr w:type="spellStart"/>
      <w:r>
        <w:rPr>
          <w:sz w:val="24"/>
          <w:szCs w:val="24"/>
        </w:rPr>
        <w:t>Umatac</w:t>
      </w:r>
      <w:proofErr w:type="spellEnd"/>
      <w:r>
        <w:rPr>
          <w:sz w:val="24"/>
          <w:szCs w:val="24"/>
        </w:rPr>
        <w:t>/</w:t>
      </w:r>
      <w:proofErr w:type="spellStart"/>
      <w:r>
        <w:rPr>
          <w:sz w:val="24"/>
          <w:szCs w:val="24"/>
        </w:rPr>
        <w:t>Merizo</w:t>
      </w:r>
      <w:proofErr w:type="spellEnd"/>
      <w:r>
        <w:rPr>
          <w:sz w:val="24"/>
          <w:szCs w:val="24"/>
        </w:rPr>
        <w:t xml:space="preserve"> </w:t>
      </w:r>
      <w:proofErr w:type="spellStart"/>
      <w:r>
        <w:rPr>
          <w:sz w:val="24"/>
          <w:szCs w:val="24"/>
        </w:rPr>
        <w:t>WWTP</w:t>
      </w:r>
      <w:proofErr w:type="spellEnd"/>
      <w:r>
        <w:rPr>
          <w:sz w:val="24"/>
          <w:szCs w:val="24"/>
        </w:rPr>
        <w:t xml:space="preserve"> project.</w:t>
      </w:r>
      <w:r>
        <w:rPr>
          <w:rStyle w:val="FootnoteReference"/>
          <w:sz w:val="24"/>
          <w:szCs w:val="24"/>
        </w:rPr>
        <w:footnoteReference w:id="4"/>
      </w:r>
      <w:r w:rsidR="00A61B49">
        <w:rPr>
          <w:sz w:val="24"/>
          <w:szCs w:val="24"/>
        </w:rPr>
        <w:t xml:space="preserve">  </w:t>
      </w:r>
      <w:proofErr w:type="spellStart"/>
      <w:r w:rsidR="00732E7E">
        <w:rPr>
          <w:rFonts w:eastAsia="Calibri"/>
          <w:sz w:val="24"/>
          <w:szCs w:val="24"/>
        </w:rPr>
        <w:t>GWA</w:t>
      </w:r>
      <w:proofErr w:type="spellEnd"/>
      <w:r w:rsidR="00732E7E">
        <w:rPr>
          <w:rFonts w:eastAsia="Calibri"/>
          <w:sz w:val="24"/>
          <w:szCs w:val="24"/>
        </w:rPr>
        <w:t xml:space="preserve"> </w:t>
      </w:r>
      <w:r w:rsidR="00A61B49">
        <w:rPr>
          <w:rFonts w:eastAsia="Calibri"/>
          <w:sz w:val="24"/>
          <w:szCs w:val="24"/>
        </w:rPr>
        <w:t xml:space="preserve">further </w:t>
      </w:r>
      <w:r w:rsidR="0097347F">
        <w:rPr>
          <w:rFonts w:eastAsia="Calibri"/>
          <w:sz w:val="24"/>
          <w:szCs w:val="24"/>
        </w:rPr>
        <w:t>maintained</w:t>
      </w:r>
      <w:r w:rsidR="00732E7E">
        <w:rPr>
          <w:rFonts w:eastAsia="Calibri"/>
          <w:sz w:val="24"/>
          <w:szCs w:val="24"/>
        </w:rPr>
        <w:t xml:space="preserve"> that </w:t>
      </w:r>
      <w:r w:rsidR="00580713">
        <w:rPr>
          <w:rFonts w:eastAsia="Calibri"/>
          <w:sz w:val="24"/>
          <w:szCs w:val="24"/>
        </w:rPr>
        <w:t>it is required to co</w:t>
      </w:r>
      <w:r w:rsidR="00F93C6A">
        <w:rPr>
          <w:rFonts w:eastAsia="Calibri"/>
          <w:sz w:val="24"/>
          <w:szCs w:val="24"/>
        </w:rPr>
        <w:t>mplete improvements to the</w:t>
      </w:r>
      <w:r w:rsidR="007739BA">
        <w:rPr>
          <w:rFonts w:eastAsia="Calibri"/>
          <w:sz w:val="24"/>
          <w:szCs w:val="24"/>
        </w:rPr>
        <w:t xml:space="preserve"> Baza Gardens </w:t>
      </w:r>
      <w:proofErr w:type="spellStart"/>
      <w:r w:rsidR="007739BA">
        <w:rPr>
          <w:rFonts w:eastAsia="Calibri"/>
          <w:sz w:val="24"/>
          <w:szCs w:val="24"/>
        </w:rPr>
        <w:t>WWTP</w:t>
      </w:r>
      <w:proofErr w:type="spellEnd"/>
      <w:r w:rsidR="007739BA">
        <w:rPr>
          <w:rFonts w:eastAsia="Calibri"/>
          <w:sz w:val="24"/>
          <w:szCs w:val="24"/>
        </w:rPr>
        <w:t xml:space="preserve"> and </w:t>
      </w:r>
      <w:proofErr w:type="spellStart"/>
      <w:r w:rsidR="007739BA">
        <w:rPr>
          <w:rFonts w:eastAsia="Calibri"/>
          <w:sz w:val="24"/>
          <w:szCs w:val="24"/>
        </w:rPr>
        <w:t>Umatac-Merizo</w:t>
      </w:r>
      <w:proofErr w:type="spellEnd"/>
      <w:r w:rsidR="007739BA">
        <w:rPr>
          <w:rFonts w:eastAsia="Calibri"/>
          <w:sz w:val="24"/>
          <w:szCs w:val="24"/>
        </w:rPr>
        <w:t xml:space="preserve"> </w:t>
      </w:r>
      <w:proofErr w:type="spellStart"/>
      <w:r w:rsidR="007739BA">
        <w:rPr>
          <w:rFonts w:eastAsia="Calibri"/>
          <w:sz w:val="24"/>
          <w:szCs w:val="24"/>
        </w:rPr>
        <w:t>WWTP</w:t>
      </w:r>
      <w:proofErr w:type="spellEnd"/>
      <w:r w:rsidR="007739BA">
        <w:rPr>
          <w:rFonts w:eastAsia="Calibri"/>
          <w:sz w:val="24"/>
          <w:szCs w:val="24"/>
        </w:rPr>
        <w:t xml:space="preserve"> in order to achieve compliance with the WWTP</w:t>
      </w:r>
      <w:r w:rsidR="00580713">
        <w:rPr>
          <w:rFonts w:eastAsia="Calibri"/>
          <w:sz w:val="24"/>
          <w:szCs w:val="24"/>
        </w:rPr>
        <w:t>’s</w:t>
      </w:r>
      <w:r w:rsidR="00E53AFE">
        <w:rPr>
          <w:rFonts w:eastAsia="Calibri"/>
          <w:sz w:val="24"/>
          <w:szCs w:val="24"/>
        </w:rPr>
        <w:t xml:space="preserve"> [</w:t>
      </w:r>
      <w:r w:rsidR="00E53AFE" w:rsidRPr="00E53AFE">
        <w:rPr>
          <w:rFonts w:eastAsia="Calibri"/>
          <w:sz w:val="24"/>
          <w:szCs w:val="24"/>
        </w:rPr>
        <w:t>National Pollutant Discharge Elimination System</w:t>
      </w:r>
      <w:r w:rsidR="003B1719">
        <w:rPr>
          <w:rFonts w:eastAsia="Calibri"/>
          <w:sz w:val="24"/>
          <w:szCs w:val="24"/>
        </w:rPr>
        <w:t xml:space="preserve"> or</w:t>
      </w:r>
      <w:r w:rsidR="007739BA">
        <w:rPr>
          <w:rFonts w:eastAsia="Calibri"/>
          <w:sz w:val="24"/>
          <w:szCs w:val="24"/>
        </w:rPr>
        <w:t xml:space="preserve"> “NPDES”] permit</w:t>
      </w:r>
      <w:r w:rsidR="00E53AFE">
        <w:rPr>
          <w:rFonts w:eastAsia="Calibri"/>
          <w:sz w:val="24"/>
          <w:szCs w:val="24"/>
        </w:rPr>
        <w:t>.</w:t>
      </w:r>
      <w:r w:rsidR="00E53AFE">
        <w:rPr>
          <w:rStyle w:val="FootnoteReference"/>
          <w:rFonts w:eastAsia="Calibri"/>
          <w:sz w:val="24"/>
          <w:szCs w:val="24"/>
        </w:rPr>
        <w:footnoteReference w:id="5"/>
      </w:r>
      <w:r w:rsidR="00B851CD">
        <w:rPr>
          <w:rFonts w:eastAsia="Calibri"/>
          <w:sz w:val="24"/>
          <w:szCs w:val="24"/>
        </w:rPr>
        <w:t xml:space="preserve">  According to GWA, </w:t>
      </w:r>
      <w:r w:rsidR="00C34232">
        <w:rPr>
          <w:rFonts w:eastAsia="Calibri"/>
          <w:sz w:val="24"/>
          <w:szCs w:val="24"/>
        </w:rPr>
        <w:t xml:space="preserve">the previous funding outlay for these projects did not account for the “project execution strategies” “being employed,” such as whether the projects were to be completed </w:t>
      </w:r>
      <w:r w:rsidR="0097347F">
        <w:rPr>
          <w:rFonts w:eastAsia="Calibri"/>
          <w:sz w:val="24"/>
          <w:szCs w:val="24"/>
        </w:rPr>
        <w:t>through</w:t>
      </w:r>
      <w:r w:rsidR="00C34232">
        <w:rPr>
          <w:rFonts w:eastAsia="Calibri"/>
          <w:sz w:val="24"/>
          <w:szCs w:val="24"/>
        </w:rPr>
        <w:t xml:space="preserve"> phased construction, design-build contracts, or design-bid-build contracts</w:t>
      </w:r>
      <w:r w:rsidR="00B851CD">
        <w:rPr>
          <w:rFonts w:eastAsia="Calibri"/>
          <w:sz w:val="24"/>
          <w:szCs w:val="24"/>
        </w:rPr>
        <w:t>.</w:t>
      </w:r>
      <w:r w:rsidR="00B851CD">
        <w:rPr>
          <w:rStyle w:val="FootnoteReference"/>
          <w:rFonts w:eastAsia="Calibri"/>
          <w:sz w:val="24"/>
          <w:szCs w:val="24"/>
        </w:rPr>
        <w:footnoteReference w:id="6"/>
      </w:r>
      <w:r w:rsidR="00B851CD">
        <w:rPr>
          <w:rFonts w:eastAsia="Calibri"/>
          <w:sz w:val="24"/>
          <w:szCs w:val="24"/>
        </w:rPr>
        <w:t xml:space="preserve">   </w:t>
      </w:r>
    </w:p>
    <w:p w:rsidR="003B1719" w:rsidRDefault="00D96850" w:rsidP="00FE7C6A">
      <w:pPr>
        <w:spacing w:line="480" w:lineRule="auto"/>
        <w:jc w:val="both"/>
        <w:rPr>
          <w:rFonts w:eastAsia="Calibri"/>
          <w:sz w:val="24"/>
          <w:szCs w:val="24"/>
        </w:rPr>
      </w:pPr>
      <w:r>
        <w:rPr>
          <w:rFonts w:eastAsia="Calibri"/>
          <w:sz w:val="24"/>
          <w:szCs w:val="24"/>
        </w:rPr>
        <w:tab/>
      </w:r>
      <w:r>
        <w:rPr>
          <w:rFonts w:eastAsia="Calibri"/>
          <w:sz w:val="24"/>
          <w:szCs w:val="24"/>
        </w:rPr>
        <w:tab/>
      </w:r>
      <w:r w:rsidR="00FE7C6A" w:rsidRPr="00FE7C6A">
        <w:rPr>
          <w:rFonts w:eastAsia="Calibri"/>
          <w:sz w:val="24"/>
          <w:szCs w:val="24"/>
        </w:rPr>
        <w:t xml:space="preserve">The Petition </w:t>
      </w:r>
      <w:r w:rsidR="0097347F">
        <w:rPr>
          <w:rFonts w:eastAsia="Calibri"/>
          <w:sz w:val="24"/>
          <w:szCs w:val="24"/>
        </w:rPr>
        <w:t>wa</w:t>
      </w:r>
      <w:r w:rsidR="00732E7E">
        <w:rPr>
          <w:rFonts w:eastAsia="Calibri"/>
          <w:sz w:val="24"/>
          <w:szCs w:val="24"/>
        </w:rPr>
        <w:t xml:space="preserve">s supported by Resolution No. </w:t>
      </w:r>
      <w:r w:rsidR="0041777A">
        <w:rPr>
          <w:rFonts w:eastAsia="Calibri"/>
          <w:sz w:val="24"/>
          <w:szCs w:val="24"/>
        </w:rPr>
        <w:t>14</w:t>
      </w:r>
      <w:r w:rsidR="00C27FD2" w:rsidRPr="0041777A">
        <w:rPr>
          <w:rFonts w:eastAsia="Calibri"/>
          <w:sz w:val="24"/>
          <w:szCs w:val="24"/>
        </w:rPr>
        <w:t>-FY201</w:t>
      </w:r>
      <w:r w:rsidR="0041777A">
        <w:rPr>
          <w:rFonts w:eastAsia="Calibri"/>
          <w:sz w:val="24"/>
          <w:szCs w:val="24"/>
        </w:rPr>
        <w:t>7</w:t>
      </w:r>
      <w:r w:rsidR="00FE7C6A" w:rsidRPr="00FE7C6A">
        <w:rPr>
          <w:rFonts w:eastAsia="Calibri"/>
          <w:sz w:val="24"/>
          <w:szCs w:val="24"/>
        </w:rPr>
        <w:t>, issued by the Consolidated Commission on Utilities</w:t>
      </w:r>
      <w:r w:rsidR="00466D5B">
        <w:rPr>
          <w:rFonts w:eastAsia="Calibri"/>
          <w:sz w:val="24"/>
          <w:szCs w:val="24"/>
        </w:rPr>
        <w:t xml:space="preserve"> </w:t>
      </w:r>
      <w:r w:rsidR="00C34232">
        <w:rPr>
          <w:rFonts w:eastAsia="Calibri"/>
          <w:sz w:val="24"/>
          <w:szCs w:val="24"/>
        </w:rPr>
        <w:t xml:space="preserve">on </w:t>
      </w:r>
      <w:r w:rsidR="0041777A">
        <w:rPr>
          <w:rFonts w:eastAsia="Calibri"/>
          <w:sz w:val="24"/>
          <w:szCs w:val="24"/>
        </w:rPr>
        <w:t>January 24, 2017</w:t>
      </w:r>
      <w:r w:rsidR="00FE7C6A" w:rsidRPr="00FE7C6A">
        <w:rPr>
          <w:rFonts w:eastAsia="Calibri"/>
          <w:sz w:val="24"/>
          <w:szCs w:val="24"/>
        </w:rPr>
        <w:t xml:space="preserve">, which approved </w:t>
      </w:r>
      <w:r>
        <w:rPr>
          <w:rFonts w:eastAsia="Calibri"/>
          <w:sz w:val="24"/>
          <w:szCs w:val="24"/>
        </w:rPr>
        <w:t xml:space="preserve">the reallocation of funds from the </w:t>
      </w:r>
      <w:r w:rsidR="00C34232">
        <w:rPr>
          <w:rFonts w:eastAsia="Calibri"/>
          <w:sz w:val="24"/>
          <w:szCs w:val="24"/>
        </w:rPr>
        <w:t>2010, 2013, and 201</w:t>
      </w:r>
      <w:r w:rsidR="0041777A">
        <w:rPr>
          <w:rFonts w:eastAsia="Calibri"/>
          <w:sz w:val="24"/>
          <w:szCs w:val="24"/>
        </w:rPr>
        <w:t>6</w:t>
      </w:r>
      <w:r w:rsidR="00C34232">
        <w:rPr>
          <w:rFonts w:eastAsia="Calibri"/>
          <w:sz w:val="24"/>
          <w:szCs w:val="24"/>
        </w:rPr>
        <w:t xml:space="preserve"> </w:t>
      </w:r>
      <w:r>
        <w:rPr>
          <w:rFonts w:eastAsia="Calibri"/>
          <w:sz w:val="24"/>
          <w:szCs w:val="24"/>
        </w:rPr>
        <w:t>Bonds, and a</w:t>
      </w:r>
      <w:r w:rsidR="00FE7C6A" w:rsidRPr="00FE7C6A">
        <w:rPr>
          <w:rFonts w:eastAsia="Calibri"/>
          <w:sz w:val="24"/>
          <w:szCs w:val="24"/>
        </w:rPr>
        <w:t>uthorized GWA t</w:t>
      </w:r>
      <w:r w:rsidR="00C27FD2">
        <w:rPr>
          <w:rFonts w:eastAsia="Calibri"/>
          <w:sz w:val="24"/>
          <w:szCs w:val="24"/>
        </w:rPr>
        <w:t xml:space="preserve">o seek </w:t>
      </w:r>
      <w:r w:rsidR="00C27FD2">
        <w:rPr>
          <w:rFonts w:eastAsia="Calibri"/>
          <w:sz w:val="24"/>
          <w:szCs w:val="24"/>
        </w:rPr>
        <w:lastRenderedPageBreak/>
        <w:t xml:space="preserve">PUC approval for </w:t>
      </w:r>
      <w:r w:rsidR="00C54A8E">
        <w:rPr>
          <w:rFonts w:eastAsia="Calibri"/>
          <w:sz w:val="24"/>
          <w:szCs w:val="24"/>
        </w:rPr>
        <w:t>such</w:t>
      </w:r>
      <w:r w:rsidR="00C34232">
        <w:rPr>
          <w:rFonts w:eastAsia="Calibri"/>
          <w:sz w:val="24"/>
          <w:szCs w:val="24"/>
        </w:rPr>
        <w:t xml:space="preserve"> reallocation</w:t>
      </w:r>
      <w:r w:rsidR="00FE7C6A" w:rsidRPr="00FE7C6A">
        <w:rPr>
          <w:rFonts w:eastAsia="Calibri"/>
          <w:sz w:val="24"/>
          <w:szCs w:val="24"/>
        </w:rPr>
        <w:t>.</w:t>
      </w:r>
      <w:r w:rsidR="00825D1D">
        <w:rPr>
          <w:rFonts w:eastAsia="Calibri"/>
          <w:sz w:val="24"/>
          <w:szCs w:val="24"/>
        </w:rPr>
        <w:t xml:space="preserve">  GWA also filed with the PUC its new Capital Improvement Plan for 2016-2020.</w:t>
      </w:r>
      <w:r w:rsidR="003B1719">
        <w:rPr>
          <w:rFonts w:eastAsia="Calibri"/>
          <w:sz w:val="24"/>
          <w:szCs w:val="24"/>
        </w:rPr>
        <w:t xml:space="preserve">  </w:t>
      </w:r>
      <w:r w:rsidR="00C54A8E">
        <w:rPr>
          <w:rFonts w:eastAsia="Calibri"/>
          <w:sz w:val="24"/>
          <w:szCs w:val="24"/>
        </w:rPr>
        <w:t xml:space="preserve">  </w:t>
      </w:r>
    </w:p>
    <w:p w:rsidR="00FE7C6A" w:rsidRDefault="00825D1D" w:rsidP="00FE7C6A">
      <w:pPr>
        <w:spacing w:line="480" w:lineRule="auto"/>
        <w:jc w:val="both"/>
        <w:rPr>
          <w:rFonts w:eastAsia="Calibri"/>
          <w:sz w:val="24"/>
          <w:szCs w:val="24"/>
        </w:rPr>
      </w:pPr>
      <w:r>
        <w:rPr>
          <w:rFonts w:eastAsia="Calibri"/>
          <w:sz w:val="24"/>
          <w:szCs w:val="24"/>
        </w:rPr>
        <w:tab/>
      </w:r>
      <w:r>
        <w:rPr>
          <w:rFonts w:eastAsia="Calibri"/>
          <w:sz w:val="24"/>
          <w:szCs w:val="24"/>
        </w:rPr>
        <w:tab/>
        <w:t>GWA intends to fund the</w:t>
      </w:r>
      <w:r w:rsidR="0097347F">
        <w:rPr>
          <w:rFonts w:eastAsia="Calibri"/>
          <w:sz w:val="24"/>
          <w:szCs w:val="24"/>
        </w:rPr>
        <w:t xml:space="preserve"> </w:t>
      </w:r>
      <w:r>
        <w:rPr>
          <w:rFonts w:eastAsia="Calibri"/>
          <w:sz w:val="24"/>
          <w:szCs w:val="24"/>
        </w:rPr>
        <w:t>s</w:t>
      </w:r>
      <w:r w:rsidR="0097347F">
        <w:rPr>
          <w:rFonts w:eastAsia="Calibri"/>
          <w:sz w:val="24"/>
          <w:szCs w:val="24"/>
        </w:rPr>
        <w:t>ubject</w:t>
      </w:r>
      <w:r>
        <w:rPr>
          <w:rFonts w:eastAsia="Calibri"/>
          <w:sz w:val="24"/>
          <w:szCs w:val="24"/>
        </w:rPr>
        <w:t xml:space="preserve"> projects through reallocating proceeds from the 2010, 2013, and 2016 bonds from “completed” projects that contained an “unspent” balance, or by deferring projects to a later date.</w:t>
      </w:r>
      <w:r>
        <w:rPr>
          <w:rStyle w:val="FootnoteReference"/>
          <w:rFonts w:eastAsia="Calibri"/>
          <w:sz w:val="24"/>
          <w:szCs w:val="24"/>
        </w:rPr>
        <w:footnoteReference w:id="7"/>
      </w:r>
      <w:r>
        <w:rPr>
          <w:rFonts w:eastAsia="Calibri"/>
          <w:sz w:val="24"/>
          <w:szCs w:val="24"/>
        </w:rPr>
        <w:t xml:space="preserve">  </w:t>
      </w:r>
      <w:r w:rsidR="00FE7C6A" w:rsidRPr="00E14A88">
        <w:rPr>
          <w:rFonts w:eastAsia="Calibri"/>
          <w:sz w:val="24"/>
          <w:szCs w:val="24"/>
        </w:rPr>
        <w:t xml:space="preserve">Pursuant to </w:t>
      </w:r>
      <w:r w:rsidR="0044407B" w:rsidRPr="00E14A88">
        <w:rPr>
          <w:rFonts w:eastAsia="Calibri"/>
          <w:sz w:val="24"/>
          <w:szCs w:val="24"/>
        </w:rPr>
        <w:t>12 G.C.A. § 12105</w:t>
      </w:r>
      <w:proofErr w:type="gramStart"/>
      <w:r w:rsidR="00FE7C6A" w:rsidRPr="00E14A88">
        <w:rPr>
          <w:rFonts w:eastAsia="Calibri"/>
          <w:sz w:val="24"/>
          <w:szCs w:val="24"/>
        </w:rPr>
        <w:t>,</w:t>
      </w:r>
      <w:proofErr w:type="gramEnd"/>
      <w:r w:rsidR="0044407B" w:rsidRPr="00E14A88">
        <w:rPr>
          <w:rStyle w:val="FootnoteReference"/>
          <w:rFonts w:eastAsia="Calibri"/>
          <w:sz w:val="24"/>
          <w:szCs w:val="24"/>
        </w:rPr>
        <w:t xml:space="preserve"> </w:t>
      </w:r>
      <w:r w:rsidR="00FE7C6A" w:rsidRPr="00E14A88">
        <w:rPr>
          <w:rFonts w:eastAsia="Calibri"/>
          <w:sz w:val="24"/>
          <w:szCs w:val="24"/>
        </w:rPr>
        <w:t>the PUC is tasked with reviewing and approving all uses of bond proceeds.</w:t>
      </w:r>
      <w:r w:rsidR="00FE7C6A" w:rsidRPr="00FE7C6A">
        <w:rPr>
          <w:rFonts w:eastAsia="Calibri"/>
          <w:sz w:val="24"/>
          <w:szCs w:val="24"/>
        </w:rPr>
        <w:t xml:space="preserve">  </w:t>
      </w:r>
    </w:p>
    <w:p w:rsidR="00FE7C6A" w:rsidRPr="00743485" w:rsidRDefault="00FE7C6A" w:rsidP="00FE7C6A">
      <w:pPr>
        <w:spacing w:line="480" w:lineRule="auto"/>
        <w:jc w:val="both"/>
        <w:rPr>
          <w:rFonts w:eastAsia="Calibri"/>
          <w:b/>
          <w:sz w:val="24"/>
          <w:szCs w:val="24"/>
        </w:rPr>
      </w:pPr>
      <w:r w:rsidRPr="00FE7C6A">
        <w:rPr>
          <w:rFonts w:eastAsia="Calibri"/>
          <w:b/>
          <w:sz w:val="24"/>
          <w:szCs w:val="24"/>
        </w:rPr>
        <w:tab/>
      </w:r>
      <w:r w:rsidR="00512AF7">
        <w:rPr>
          <w:rFonts w:eastAsia="Calibri"/>
          <w:b/>
          <w:sz w:val="24"/>
          <w:szCs w:val="24"/>
        </w:rPr>
        <w:tab/>
        <w:t>1</w:t>
      </w:r>
      <w:r w:rsidRPr="00FE7C6A">
        <w:rPr>
          <w:rFonts w:eastAsia="Calibri"/>
          <w:b/>
          <w:sz w:val="24"/>
          <w:szCs w:val="24"/>
        </w:rPr>
        <w:t>.</w:t>
      </w:r>
      <w:r w:rsidRPr="00FE7C6A">
        <w:rPr>
          <w:rFonts w:eastAsia="Calibri"/>
          <w:b/>
          <w:sz w:val="24"/>
          <w:szCs w:val="24"/>
        </w:rPr>
        <w:tab/>
      </w:r>
      <w:r w:rsidR="00512AF7">
        <w:rPr>
          <w:rFonts w:eastAsia="Calibri"/>
          <w:b/>
          <w:sz w:val="24"/>
          <w:szCs w:val="24"/>
          <w:u w:val="single"/>
        </w:rPr>
        <w:t>Baza Gardens Wastewater Treatment Plant Improvements</w:t>
      </w:r>
    </w:p>
    <w:p w:rsidR="007634CC" w:rsidRDefault="00B66682" w:rsidP="007634CC">
      <w:pPr>
        <w:spacing w:line="480" w:lineRule="auto"/>
        <w:jc w:val="both"/>
        <w:rPr>
          <w:rFonts w:eastAsia="Calibri"/>
          <w:sz w:val="24"/>
          <w:szCs w:val="24"/>
        </w:rPr>
      </w:pPr>
      <w:r w:rsidRPr="00FE7C6A">
        <w:rPr>
          <w:rFonts w:eastAsia="Calibri"/>
          <w:sz w:val="24"/>
          <w:szCs w:val="24"/>
        </w:rPr>
        <w:tab/>
      </w:r>
      <w:r w:rsidRPr="00FE7C6A">
        <w:rPr>
          <w:rFonts w:eastAsia="Calibri"/>
          <w:sz w:val="24"/>
          <w:szCs w:val="24"/>
        </w:rPr>
        <w:tab/>
      </w:r>
      <w:r w:rsidR="007634CC" w:rsidRPr="00173EA3">
        <w:rPr>
          <w:rFonts w:eastAsia="Calibri"/>
          <w:sz w:val="24"/>
          <w:szCs w:val="24"/>
        </w:rPr>
        <w:t xml:space="preserve">The </w:t>
      </w:r>
      <w:r w:rsidR="007634CC">
        <w:rPr>
          <w:rFonts w:eastAsia="Calibri"/>
          <w:sz w:val="24"/>
          <w:szCs w:val="24"/>
        </w:rPr>
        <w:t>Baza Gardens Sewage Treatment Plant (“STP”)</w:t>
      </w:r>
      <w:r w:rsidR="007634CC" w:rsidRPr="009713F4">
        <w:rPr>
          <w:rFonts w:eastAsia="Calibri"/>
          <w:sz w:val="24"/>
          <w:szCs w:val="24"/>
        </w:rPr>
        <w:t xml:space="preserve"> Replacement</w:t>
      </w:r>
      <w:r w:rsidR="007634CC" w:rsidRPr="00173EA3">
        <w:rPr>
          <w:rFonts w:eastAsia="Calibri"/>
          <w:sz w:val="24"/>
          <w:szCs w:val="24"/>
        </w:rPr>
        <w:t xml:space="preserve"> project involves the construction of new wastewater treatment facilities.</w:t>
      </w:r>
      <w:r w:rsidR="007634CC">
        <w:rPr>
          <w:rFonts w:eastAsia="Calibri"/>
          <w:sz w:val="24"/>
          <w:szCs w:val="24"/>
        </w:rPr>
        <w:t xml:space="preserve">  GWA needs an additional $15.8 m</w:t>
      </w:r>
      <w:r w:rsidR="00D71AB0">
        <w:rPr>
          <w:rFonts w:eastAsia="Calibri"/>
          <w:sz w:val="24"/>
          <w:szCs w:val="24"/>
        </w:rPr>
        <w:t xml:space="preserve">illion to complete the project. </w:t>
      </w:r>
      <w:r w:rsidR="007634CC">
        <w:rPr>
          <w:rFonts w:eastAsia="Calibri"/>
          <w:sz w:val="24"/>
          <w:szCs w:val="24"/>
        </w:rPr>
        <w:t xml:space="preserve"> According to GWA, this figure is</w:t>
      </w:r>
      <w:r w:rsidR="007634CC" w:rsidRPr="009713F4">
        <w:rPr>
          <w:rFonts w:eastAsia="Calibri"/>
          <w:sz w:val="24"/>
          <w:szCs w:val="24"/>
        </w:rPr>
        <w:t xml:space="preserve"> for </w:t>
      </w:r>
      <w:r w:rsidR="007634CC">
        <w:rPr>
          <w:rFonts w:eastAsia="Calibri"/>
          <w:sz w:val="24"/>
          <w:szCs w:val="24"/>
        </w:rPr>
        <w:t>construction only, and would include a n</w:t>
      </w:r>
      <w:r w:rsidR="007634CC" w:rsidRPr="009713F4">
        <w:rPr>
          <w:rFonts w:eastAsia="Calibri"/>
          <w:sz w:val="24"/>
          <w:szCs w:val="24"/>
        </w:rPr>
        <w:t>ew pumping facility located at the existing Baza Garden</w:t>
      </w:r>
      <w:r w:rsidR="007634CC">
        <w:rPr>
          <w:rFonts w:eastAsia="Calibri"/>
          <w:sz w:val="24"/>
          <w:szCs w:val="24"/>
        </w:rPr>
        <w:t>s</w:t>
      </w:r>
      <w:r w:rsidR="007634CC" w:rsidRPr="009713F4">
        <w:rPr>
          <w:rFonts w:eastAsia="Calibri"/>
          <w:sz w:val="24"/>
          <w:szCs w:val="24"/>
        </w:rPr>
        <w:t xml:space="preserve"> plant, two new equalization basins also at the plant, </w:t>
      </w:r>
      <w:r w:rsidR="004648A8">
        <w:rPr>
          <w:rFonts w:eastAsia="Calibri"/>
          <w:sz w:val="24"/>
          <w:szCs w:val="24"/>
        </w:rPr>
        <w:t xml:space="preserve">which are used to buffer flow and loading, </w:t>
      </w:r>
      <w:r w:rsidR="007634CC">
        <w:rPr>
          <w:rFonts w:eastAsia="Calibri"/>
          <w:sz w:val="24"/>
          <w:szCs w:val="24"/>
        </w:rPr>
        <w:t xml:space="preserve">and </w:t>
      </w:r>
      <w:r w:rsidR="007634CC" w:rsidRPr="009713F4">
        <w:rPr>
          <w:rFonts w:eastAsia="Calibri"/>
          <w:sz w:val="24"/>
          <w:szCs w:val="24"/>
        </w:rPr>
        <w:t>about 1</w:t>
      </w:r>
      <w:r w:rsidR="007634CC">
        <w:rPr>
          <w:rFonts w:eastAsia="Calibri"/>
          <w:sz w:val="24"/>
          <w:szCs w:val="24"/>
        </w:rPr>
        <w:t>,</w:t>
      </w:r>
      <w:r w:rsidR="007634CC" w:rsidRPr="009713F4">
        <w:rPr>
          <w:rFonts w:eastAsia="Calibri"/>
          <w:sz w:val="24"/>
          <w:szCs w:val="24"/>
        </w:rPr>
        <w:t xml:space="preserve">200 linear feet of </w:t>
      </w:r>
      <w:r w:rsidR="007634CC">
        <w:rPr>
          <w:rFonts w:eastAsia="Calibri"/>
          <w:sz w:val="24"/>
          <w:szCs w:val="24"/>
        </w:rPr>
        <w:t>pipelines</w:t>
      </w:r>
      <w:r w:rsidR="007634CC" w:rsidRPr="009713F4">
        <w:rPr>
          <w:rFonts w:eastAsia="Calibri"/>
          <w:sz w:val="24"/>
          <w:szCs w:val="24"/>
        </w:rPr>
        <w:t>.</w:t>
      </w:r>
    </w:p>
    <w:p w:rsidR="00512AF7" w:rsidRPr="00512AF7" w:rsidRDefault="00FE7C6A" w:rsidP="007634CC">
      <w:pPr>
        <w:spacing w:line="480" w:lineRule="auto"/>
        <w:jc w:val="both"/>
        <w:rPr>
          <w:rFonts w:eastAsia="Calibri"/>
          <w:b/>
          <w:sz w:val="24"/>
          <w:szCs w:val="24"/>
          <w:u w:val="single"/>
        </w:rPr>
      </w:pPr>
      <w:r w:rsidRPr="00FE7C6A">
        <w:rPr>
          <w:rFonts w:eastAsia="Calibri"/>
          <w:b/>
          <w:sz w:val="24"/>
          <w:szCs w:val="24"/>
        </w:rPr>
        <w:tab/>
      </w:r>
      <w:r w:rsidR="00512AF7">
        <w:rPr>
          <w:rFonts w:eastAsia="Calibri"/>
          <w:b/>
          <w:sz w:val="24"/>
          <w:szCs w:val="24"/>
        </w:rPr>
        <w:tab/>
        <w:t>2</w:t>
      </w:r>
      <w:r w:rsidRPr="00FE7C6A">
        <w:rPr>
          <w:rFonts w:eastAsia="Calibri"/>
          <w:b/>
          <w:sz w:val="24"/>
          <w:szCs w:val="24"/>
        </w:rPr>
        <w:t>.</w:t>
      </w:r>
      <w:r w:rsidRPr="00FE7C6A">
        <w:rPr>
          <w:rFonts w:eastAsia="Calibri"/>
          <w:b/>
          <w:sz w:val="24"/>
          <w:szCs w:val="24"/>
        </w:rPr>
        <w:tab/>
      </w:r>
      <w:proofErr w:type="spellStart"/>
      <w:r w:rsidR="00512AF7" w:rsidRPr="00512AF7">
        <w:rPr>
          <w:rFonts w:eastAsia="Calibri"/>
          <w:b/>
          <w:sz w:val="24"/>
          <w:szCs w:val="24"/>
          <w:u w:val="single"/>
        </w:rPr>
        <w:t>Umatac-Merizo</w:t>
      </w:r>
      <w:proofErr w:type="spellEnd"/>
      <w:r w:rsidR="00512AF7" w:rsidRPr="00512AF7">
        <w:rPr>
          <w:rFonts w:eastAsia="Calibri"/>
          <w:b/>
          <w:sz w:val="24"/>
          <w:szCs w:val="24"/>
          <w:u w:val="single"/>
        </w:rPr>
        <w:t xml:space="preserve"> W</w:t>
      </w:r>
      <w:r w:rsidR="00512AF7">
        <w:rPr>
          <w:rFonts w:eastAsia="Calibri"/>
          <w:b/>
          <w:sz w:val="24"/>
          <w:szCs w:val="24"/>
          <w:u w:val="single"/>
        </w:rPr>
        <w:t xml:space="preserve">astewater </w:t>
      </w:r>
      <w:r w:rsidR="00512AF7" w:rsidRPr="00512AF7">
        <w:rPr>
          <w:rFonts w:eastAsia="Calibri"/>
          <w:b/>
          <w:sz w:val="24"/>
          <w:szCs w:val="24"/>
          <w:u w:val="single"/>
        </w:rPr>
        <w:t>T</w:t>
      </w:r>
      <w:r w:rsidR="00512AF7">
        <w:rPr>
          <w:rFonts w:eastAsia="Calibri"/>
          <w:b/>
          <w:sz w:val="24"/>
          <w:szCs w:val="24"/>
          <w:u w:val="single"/>
        </w:rPr>
        <w:t xml:space="preserve">reatment </w:t>
      </w:r>
      <w:r w:rsidR="00512AF7" w:rsidRPr="00512AF7">
        <w:rPr>
          <w:rFonts w:eastAsia="Calibri"/>
          <w:b/>
          <w:sz w:val="24"/>
          <w:szCs w:val="24"/>
          <w:u w:val="single"/>
        </w:rPr>
        <w:t>P</w:t>
      </w:r>
      <w:r w:rsidR="00512AF7">
        <w:rPr>
          <w:rFonts w:eastAsia="Calibri"/>
          <w:b/>
          <w:sz w:val="24"/>
          <w:szCs w:val="24"/>
          <w:u w:val="single"/>
        </w:rPr>
        <w:t>lant</w:t>
      </w:r>
      <w:r w:rsidR="00512AF7" w:rsidRPr="00512AF7">
        <w:rPr>
          <w:rFonts w:eastAsia="Calibri"/>
          <w:b/>
          <w:sz w:val="24"/>
          <w:szCs w:val="24"/>
          <w:u w:val="single"/>
        </w:rPr>
        <w:t xml:space="preserve"> Improvements</w:t>
      </w:r>
    </w:p>
    <w:p w:rsidR="00E14A88" w:rsidRDefault="007634CC" w:rsidP="00E14A88">
      <w:pPr>
        <w:shd w:val="clear" w:color="auto" w:fill="FFFFFF"/>
        <w:spacing w:line="480" w:lineRule="auto"/>
        <w:ind w:firstLine="1440"/>
        <w:jc w:val="both"/>
        <w:rPr>
          <w:rFonts w:eastAsia="Calibri"/>
          <w:sz w:val="24"/>
          <w:szCs w:val="24"/>
        </w:rPr>
      </w:pPr>
      <w:r w:rsidRPr="00173EA3">
        <w:rPr>
          <w:rFonts w:eastAsia="Calibri"/>
          <w:sz w:val="24"/>
          <w:szCs w:val="24"/>
        </w:rPr>
        <w:t xml:space="preserve">The </w:t>
      </w:r>
      <w:proofErr w:type="spellStart"/>
      <w:r w:rsidRPr="00173EA3">
        <w:rPr>
          <w:rFonts w:eastAsia="Calibri"/>
          <w:sz w:val="24"/>
          <w:szCs w:val="24"/>
        </w:rPr>
        <w:t>Umatac-Merizo</w:t>
      </w:r>
      <w:proofErr w:type="spellEnd"/>
      <w:r w:rsidRPr="00173EA3">
        <w:rPr>
          <w:rFonts w:eastAsia="Calibri"/>
          <w:sz w:val="24"/>
          <w:szCs w:val="24"/>
        </w:rPr>
        <w:t xml:space="preserve"> </w:t>
      </w:r>
      <w:proofErr w:type="spellStart"/>
      <w:r w:rsidRPr="00173EA3">
        <w:rPr>
          <w:rFonts w:eastAsia="Calibri"/>
          <w:sz w:val="24"/>
          <w:szCs w:val="24"/>
        </w:rPr>
        <w:t>STP</w:t>
      </w:r>
      <w:proofErr w:type="spellEnd"/>
      <w:r w:rsidRPr="00173EA3">
        <w:rPr>
          <w:rFonts w:eastAsia="Calibri"/>
          <w:sz w:val="24"/>
          <w:szCs w:val="24"/>
        </w:rPr>
        <w:t xml:space="preserve"> Replacement project </w:t>
      </w:r>
      <w:r>
        <w:rPr>
          <w:rFonts w:eastAsia="Calibri"/>
          <w:sz w:val="24"/>
          <w:szCs w:val="24"/>
        </w:rPr>
        <w:t xml:space="preserve">also </w:t>
      </w:r>
      <w:r w:rsidRPr="00173EA3">
        <w:rPr>
          <w:rFonts w:eastAsia="Calibri"/>
          <w:sz w:val="24"/>
          <w:szCs w:val="24"/>
        </w:rPr>
        <w:t xml:space="preserve">involves the construction of new wastewater treatment facilities.  </w:t>
      </w:r>
      <w:proofErr w:type="spellStart"/>
      <w:r w:rsidRPr="00173EA3">
        <w:rPr>
          <w:rFonts w:eastAsia="Calibri"/>
          <w:sz w:val="24"/>
          <w:szCs w:val="24"/>
        </w:rPr>
        <w:t>GWA</w:t>
      </w:r>
      <w:proofErr w:type="spellEnd"/>
      <w:r w:rsidRPr="00173EA3">
        <w:rPr>
          <w:rFonts w:eastAsia="Calibri"/>
          <w:sz w:val="24"/>
          <w:szCs w:val="24"/>
        </w:rPr>
        <w:t xml:space="preserve"> submit</w:t>
      </w:r>
      <w:r w:rsidR="00DF260B">
        <w:rPr>
          <w:rFonts w:eastAsia="Calibri"/>
          <w:sz w:val="24"/>
          <w:szCs w:val="24"/>
        </w:rPr>
        <w:t>ted</w:t>
      </w:r>
      <w:r w:rsidRPr="00173EA3">
        <w:rPr>
          <w:rFonts w:eastAsia="Calibri"/>
          <w:sz w:val="24"/>
          <w:szCs w:val="24"/>
        </w:rPr>
        <w:t xml:space="preserve"> that $8 million is already budgeted for the project, but that it needs an additional $12.8 million</w:t>
      </w:r>
      <w:r>
        <w:rPr>
          <w:rFonts w:eastAsia="Calibri"/>
          <w:sz w:val="24"/>
          <w:szCs w:val="24"/>
        </w:rPr>
        <w:t>, for a total of $20.8 million for the entire project</w:t>
      </w:r>
      <w:r w:rsidR="00920719">
        <w:rPr>
          <w:rFonts w:eastAsia="Calibri"/>
          <w:sz w:val="24"/>
          <w:szCs w:val="24"/>
        </w:rPr>
        <w:t xml:space="preserve">.  </w:t>
      </w:r>
      <w:proofErr w:type="spellStart"/>
      <w:r w:rsidR="00920719">
        <w:rPr>
          <w:rFonts w:eastAsia="Calibri"/>
          <w:sz w:val="24"/>
          <w:szCs w:val="24"/>
        </w:rPr>
        <w:t>GWA</w:t>
      </w:r>
      <w:proofErr w:type="spellEnd"/>
      <w:r w:rsidR="00920719">
        <w:rPr>
          <w:rFonts w:eastAsia="Calibri"/>
          <w:sz w:val="24"/>
          <w:szCs w:val="24"/>
        </w:rPr>
        <w:t xml:space="preserve"> indicated</w:t>
      </w:r>
      <w:r w:rsidRPr="00173EA3">
        <w:rPr>
          <w:rFonts w:eastAsia="Calibri"/>
          <w:sz w:val="24"/>
          <w:szCs w:val="24"/>
        </w:rPr>
        <w:t xml:space="preserve"> that $723,000 is budgeted for project management; $17.5 million for the design-build contract; $1.7 million for construction management; and an $827,000 contingency.  The components of this project include the following, among others: upgrade influe</w:t>
      </w:r>
      <w:r w:rsidR="00802BD0">
        <w:rPr>
          <w:rFonts w:eastAsia="Calibri"/>
          <w:sz w:val="24"/>
          <w:szCs w:val="24"/>
        </w:rPr>
        <w:t>nt pump station,</w:t>
      </w:r>
      <w:r w:rsidRPr="00173EA3">
        <w:rPr>
          <w:rFonts w:eastAsia="Calibri"/>
          <w:sz w:val="24"/>
          <w:szCs w:val="24"/>
        </w:rPr>
        <w:t xml:space="preserve"> upgrade aerated lagoon, new </w:t>
      </w:r>
      <w:r w:rsidRPr="00173EA3">
        <w:rPr>
          <w:rFonts w:eastAsia="Calibri"/>
          <w:sz w:val="24"/>
          <w:szCs w:val="24"/>
        </w:rPr>
        <w:lastRenderedPageBreak/>
        <w:t xml:space="preserve">lagoon effluent pump station, new lagoon effluent </w:t>
      </w:r>
      <w:r w:rsidR="00802BD0">
        <w:rPr>
          <w:rFonts w:eastAsia="Calibri"/>
          <w:sz w:val="24"/>
          <w:szCs w:val="24"/>
        </w:rPr>
        <w:t>pipelines</w:t>
      </w:r>
      <w:r w:rsidRPr="00173EA3">
        <w:rPr>
          <w:rFonts w:eastAsia="Calibri"/>
          <w:sz w:val="24"/>
          <w:szCs w:val="24"/>
        </w:rPr>
        <w:t>, upgrade overland flow system and recirculation pond, upgrade overland flow system and recirculation pump station, new UV disinfection system, upgrade plant water system electrical power supply and standby generator</w:t>
      </w:r>
      <w:r w:rsidR="00A1555F">
        <w:rPr>
          <w:rFonts w:eastAsia="Calibri"/>
          <w:sz w:val="24"/>
          <w:szCs w:val="24"/>
        </w:rPr>
        <w:t>,</w:t>
      </w:r>
      <w:r w:rsidRPr="00173EA3">
        <w:rPr>
          <w:rFonts w:eastAsia="Calibri"/>
          <w:sz w:val="24"/>
          <w:szCs w:val="24"/>
        </w:rPr>
        <w:t xml:space="preserve"> plus other </w:t>
      </w:r>
      <w:r>
        <w:rPr>
          <w:rFonts w:eastAsia="Calibri"/>
          <w:sz w:val="24"/>
          <w:szCs w:val="24"/>
        </w:rPr>
        <w:t>facilities</w:t>
      </w:r>
      <w:r w:rsidR="00E14A88">
        <w:rPr>
          <w:rFonts w:eastAsia="Calibri"/>
          <w:sz w:val="24"/>
          <w:szCs w:val="24"/>
        </w:rPr>
        <w:t xml:space="preserve">.   </w:t>
      </w:r>
    </w:p>
    <w:p w:rsidR="00E14A88" w:rsidRPr="00A5099F" w:rsidRDefault="00E14A88" w:rsidP="00E14A88">
      <w:pPr>
        <w:tabs>
          <w:tab w:val="left" w:pos="2160"/>
        </w:tabs>
        <w:spacing w:after="280" w:line="240" w:lineRule="auto"/>
        <w:ind w:left="2160" w:hanging="720"/>
        <w:jc w:val="both"/>
        <w:rPr>
          <w:rFonts w:eastAsia="Calibri"/>
          <w:b/>
          <w:sz w:val="24"/>
          <w:szCs w:val="24"/>
          <w:u w:val="single"/>
        </w:rPr>
      </w:pPr>
      <w:r>
        <w:rPr>
          <w:rFonts w:eastAsia="Calibri"/>
          <w:b/>
          <w:sz w:val="24"/>
          <w:szCs w:val="24"/>
        </w:rPr>
        <w:t>3</w:t>
      </w:r>
      <w:r w:rsidRPr="00EA7A1B">
        <w:rPr>
          <w:rFonts w:eastAsia="Calibri"/>
          <w:b/>
          <w:sz w:val="24"/>
          <w:szCs w:val="24"/>
        </w:rPr>
        <w:t>.</w:t>
      </w:r>
      <w:r w:rsidRPr="00EA7A1B">
        <w:rPr>
          <w:rFonts w:eastAsia="Calibri"/>
          <w:b/>
          <w:sz w:val="24"/>
          <w:szCs w:val="24"/>
        </w:rPr>
        <w:tab/>
      </w:r>
      <w:r w:rsidRPr="00A5099F">
        <w:rPr>
          <w:rFonts w:eastAsia="Calibri"/>
          <w:b/>
          <w:sz w:val="24"/>
          <w:szCs w:val="24"/>
          <w:u w:val="single"/>
        </w:rPr>
        <w:t>Northern District W</w:t>
      </w:r>
      <w:r>
        <w:rPr>
          <w:rFonts w:eastAsia="Calibri"/>
          <w:b/>
          <w:sz w:val="24"/>
          <w:szCs w:val="24"/>
          <w:u w:val="single"/>
        </w:rPr>
        <w:t>astewater Treatment Plant</w:t>
      </w:r>
      <w:r w:rsidRPr="00A5099F">
        <w:rPr>
          <w:rFonts w:eastAsia="Calibri"/>
          <w:b/>
          <w:sz w:val="24"/>
          <w:szCs w:val="24"/>
          <w:u w:val="single"/>
        </w:rPr>
        <w:t xml:space="preserve"> Secondary Treatment Upgrades</w:t>
      </w:r>
    </w:p>
    <w:p w:rsidR="003F0AC0" w:rsidRDefault="00E14A88" w:rsidP="00743485">
      <w:pPr>
        <w:spacing w:line="480" w:lineRule="auto"/>
        <w:jc w:val="both"/>
        <w:rPr>
          <w:rFonts w:eastAsia="Calibri"/>
          <w:sz w:val="24"/>
          <w:szCs w:val="24"/>
        </w:rPr>
      </w:pPr>
      <w:r w:rsidRPr="00EA7A1B">
        <w:rPr>
          <w:rFonts w:eastAsia="Calibri"/>
          <w:sz w:val="24"/>
          <w:szCs w:val="24"/>
        </w:rPr>
        <w:tab/>
      </w:r>
      <w:r w:rsidRPr="00EA7A1B">
        <w:rPr>
          <w:rFonts w:eastAsia="Calibri"/>
          <w:sz w:val="24"/>
          <w:szCs w:val="24"/>
        </w:rPr>
        <w:tab/>
      </w:r>
      <w:proofErr w:type="spellStart"/>
      <w:r w:rsidR="007634CC" w:rsidRPr="008E59E5">
        <w:rPr>
          <w:rFonts w:eastAsia="Calibri"/>
          <w:sz w:val="24"/>
          <w:szCs w:val="24"/>
        </w:rPr>
        <w:t>GWA</w:t>
      </w:r>
      <w:proofErr w:type="spellEnd"/>
      <w:r w:rsidR="007634CC" w:rsidRPr="008E59E5">
        <w:rPr>
          <w:rFonts w:eastAsia="Calibri"/>
          <w:sz w:val="24"/>
          <w:szCs w:val="24"/>
        </w:rPr>
        <w:t xml:space="preserve"> submit</w:t>
      </w:r>
      <w:r w:rsidR="00920719">
        <w:rPr>
          <w:rFonts w:eastAsia="Calibri"/>
          <w:sz w:val="24"/>
          <w:szCs w:val="24"/>
        </w:rPr>
        <w:t>ted</w:t>
      </w:r>
      <w:r w:rsidR="007634CC" w:rsidRPr="008E59E5">
        <w:rPr>
          <w:rFonts w:eastAsia="Calibri"/>
          <w:sz w:val="24"/>
          <w:szCs w:val="24"/>
        </w:rPr>
        <w:t xml:space="preserve"> that it needs an additional $1 million for this project in order to acquire the property adjacent to the existing plant location.</w:t>
      </w:r>
      <w:r w:rsidR="007634CC" w:rsidRPr="008E59E5">
        <w:rPr>
          <w:rStyle w:val="FootnoteReference"/>
          <w:rFonts w:eastAsia="Calibri"/>
          <w:sz w:val="24"/>
          <w:szCs w:val="24"/>
        </w:rPr>
        <w:footnoteReference w:id="8"/>
      </w:r>
      <w:r w:rsidR="007634CC" w:rsidRPr="008E59E5">
        <w:rPr>
          <w:rFonts w:eastAsia="Calibri"/>
          <w:sz w:val="24"/>
          <w:szCs w:val="24"/>
        </w:rPr>
        <w:t xml:space="preserve">  </w:t>
      </w:r>
      <w:proofErr w:type="spellStart"/>
      <w:r w:rsidR="007634CC" w:rsidRPr="008E59E5">
        <w:rPr>
          <w:rFonts w:eastAsia="Calibri"/>
          <w:sz w:val="24"/>
          <w:szCs w:val="24"/>
        </w:rPr>
        <w:t>GWA</w:t>
      </w:r>
      <w:proofErr w:type="spellEnd"/>
      <w:r w:rsidR="007634CC" w:rsidRPr="008E59E5">
        <w:rPr>
          <w:rFonts w:eastAsia="Calibri"/>
          <w:sz w:val="24"/>
          <w:szCs w:val="24"/>
        </w:rPr>
        <w:t xml:space="preserve"> maintain</w:t>
      </w:r>
      <w:r w:rsidR="00920719">
        <w:rPr>
          <w:rFonts w:eastAsia="Calibri"/>
          <w:sz w:val="24"/>
          <w:szCs w:val="24"/>
        </w:rPr>
        <w:t>ed</w:t>
      </w:r>
      <w:r w:rsidR="007634CC" w:rsidRPr="008E59E5">
        <w:rPr>
          <w:rFonts w:eastAsia="Calibri"/>
          <w:sz w:val="24"/>
          <w:szCs w:val="24"/>
        </w:rPr>
        <w:t xml:space="preserve"> that it requires the addition of this property in order to “upgrade and expand” the facility.</w:t>
      </w:r>
      <w:r w:rsidR="007634CC">
        <w:rPr>
          <w:rStyle w:val="FootnoteReference"/>
          <w:rFonts w:eastAsia="Calibri"/>
          <w:sz w:val="24"/>
          <w:szCs w:val="24"/>
        </w:rPr>
        <w:footnoteReference w:id="9"/>
      </w:r>
      <w:r w:rsidR="007634CC" w:rsidRPr="008E59E5">
        <w:rPr>
          <w:rFonts w:eastAsia="Calibri"/>
          <w:sz w:val="24"/>
          <w:szCs w:val="24"/>
        </w:rPr>
        <w:t xml:space="preserve">  According to a Guam Water and Wastewater Assessment Report prepared by the U.S.</w:t>
      </w:r>
      <w:r w:rsidR="007634CC">
        <w:rPr>
          <w:rFonts w:eastAsia="Calibri"/>
          <w:sz w:val="24"/>
          <w:szCs w:val="24"/>
        </w:rPr>
        <w:t xml:space="preserve"> Department of the Navy last year, for purposes of</w:t>
      </w:r>
      <w:r w:rsidR="002F1349">
        <w:rPr>
          <w:rFonts w:eastAsia="Calibri"/>
          <w:sz w:val="24"/>
          <w:szCs w:val="24"/>
        </w:rPr>
        <w:t xml:space="preserve"> land acquisition at the Northern District </w:t>
      </w:r>
      <w:r w:rsidR="007634CC">
        <w:rPr>
          <w:rFonts w:eastAsia="Calibri"/>
          <w:sz w:val="24"/>
          <w:szCs w:val="24"/>
        </w:rPr>
        <w:t>WWTP, the unit cost per acre is assumed to be at $85,060, which is the purchase price indicated by available land records.</w:t>
      </w:r>
      <w:r w:rsidR="007634CC">
        <w:rPr>
          <w:rStyle w:val="FootnoteReference"/>
          <w:rFonts w:eastAsia="Calibri"/>
          <w:sz w:val="24"/>
          <w:szCs w:val="24"/>
        </w:rPr>
        <w:footnoteReference w:id="10"/>
      </w:r>
      <w:r w:rsidR="007634CC">
        <w:rPr>
          <w:rFonts w:eastAsia="Calibri"/>
          <w:sz w:val="24"/>
          <w:szCs w:val="24"/>
        </w:rPr>
        <w:t xml:space="preserve">  The amount of $560,000 was the original estimate for the purchase of additional land.  GWA, however, intends on obtaining an additional seventeen (17) acres of land for this expansion, at a cost of about $1.4 million.  Accordingly, </w:t>
      </w:r>
      <w:proofErr w:type="spellStart"/>
      <w:r w:rsidR="007634CC">
        <w:rPr>
          <w:rFonts w:eastAsia="Calibri"/>
          <w:sz w:val="24"/>
          <w:szCs w:val="24"/>
        </w:rPr>
        <w:t>GWA</w:t>
      </w:r>
      <w:proofErr w:type="spellEnd"/>
      <w:r w:rsidR="007634CC">
        <w:rPr>
          <w:rFonts w:eastAsia="Calibri"/>
          <w:sz w:val="24"/>
          <w:szCs w:val="24"/>
        </w:rPr>
        <w:t xml:space="preserve"> maintain</w:t>
      </w:r>
      <w:r w:rsidR="00920719">
        <w:rPr>
          <w:rFonts w:eastAsia="Calibri"/>
          <w:sz w:val="24"/>
          <w:szCs w:val="24"/>
        </w:rPr>
        <w:t>ed</w:t>
      </w:r>
      <w:r w:rsidR="007634CC">
        <w:rPr>
          <w:rFonts w:eastAsia="Calibri"/>
          <w:sz w:val="24"/>
          <w:szCs w:val="24"/>
        </w:rPr>
        <w:t xml:space="preserve"> that $1.56 million in total should be sufficient to acquire the additional seventeen (17) acres of property</w:t>
      </w:r>
      <w:r>
        <w:rPr>
          <w:rFonts w:eastAsia="Calibri"/>
          <w:sz w:val="24"/>
          <w:szCs w:val="24"/>
        </w:rPr>
        <w:t>.</w:t>
      </w:r>
    </w:p>
    <w:p w:rsidR="00E14A88" w:rsidRDefault="00E14A88" w:rsidP="00E14A88">
      <w:pPr>
        <w:spacing w:line="480" w:lineRule="auto"/>
        <w:jc w:val="both"/>
        <w:rPr>
          <w:rFonts w:eastAsia="Calibri"/>
          <w:sz w:val="24"/>
          <w:szCs w:val="24"/>
        </w:rPr>
      </w:pPr>
      <w:r w:rsidRPr="00FE7C6A">
        <w:rPr>
          <w:rFonts w:eastAsia="Calibri"/>
          <w:sz w:val="24"/>
          <w:szCs w:val="24"/>
        </w:rPr>
        <w:tab/>
      </w:r>
      <w:r w:rsidRPr="00FE7C6A">
        <w:rPr>
          <w:rFonts w:eastAsia="Calibri"/>
          <w:sz w:val="24"/>
          <w:szCs w:val="24"/>
        </w:rPr>
        <w:tab/>
        <w:t xml:space="preserve">The PUC is tasked with reviewing and approving all uses of bond proceeds pursuant to </w:t>
      </w:r>
      <w:r>
        <w:rPr>
          <w:rFonts w:eastAsia="Calibri"/>
          <w:sz w:val="24"/>
          <w:szCs w:val="24"/>
        </w:rPr>
        <w:t>12 G.C.A. §</w:t>
      </w:r>
      <w:r w:rsidRPr="007739BA">
        <w:rPr>
          <w:rFonts w:eastAsia="Calibri"/>
          <w:sz w:val="24"/>
          <w:szCs w:val="24"/>
        </w:rPr>
        <w:t>12105</w:t>
      </w:r>
      <w:r w:rsidR="002F1349">
        <w:rPr>
          <w:rFonts w:eastAsia="Calibri"/>
          <w:sz w:val="24"/>
          <w:szCs w:val="24"/>
        </w:rPr>
        <w:t>.</w:t>
      </w:r>
      <w:r>
        <w:rPr>
          <w:rFonts w:eastAsia="Calibri"/>
          <w:sz w:val="24"/>
          <w:szCs w:val="24"/>
        </w:rPr>
        <w:t xml:space="preserve">  </w:t>
      </w:r>
      <w:r w:rsidR="0097347F">
        <w:rPr>
          <w:rFonts w:eastAsia="Calibri"/>
          <w:sz w:val="24"/>
          <w:szCs w:val="24"/>
        </w:rPr>
        <w:t>B</w:t>
      </w:r>
      <w:r>
        <w:rPr>
          <w:rFonts w:eastAsia="Calibri"/>
          <w:sz w:val="24"/>
          <w:szCs w:val="24"/>
        </w:rPr>
        <w:t xml:space="preserve">ased on the record, </w:t>
      </w:r>
      <w:proofErr w:type="spellStart"/>
      <w:r>
        <w:rPr>
          <w:rFonts w:eastAsia="Calibri"/>
          <w:sz w:val="24"/>
          <w:szCs w:val="24"/>
        </w:rPr>
        <w:t>GWA</w:t>
      </w:r>
      <w:proofErr w:type="spellEnd"/>
      <w:r>
        <w:rPr>
          <w:rFonts w:eastAsia="Calibri"/>
          <w:sz w:val="24"/>
          <w:szCs w:val="24"/>
        </w:rPr>
        <w:t xml:space="preserve"> is required to complete improvements to the Baza Gardens </w:t>
      </w:r>
      <w:proofErr w:type="spellStart"/>
      <w:r>
        <w:rPr>
          <w:rFonts w:eastAsia="Calibri"/>
          <w:sz w:val="24"/>
          <w:szCs w:val="24"/>
        </w:rPr>
        <w:t>WWTP</w:t>
      </w:r>
      <w:proofErr w:type="spellEnd"/>
      <w:r>
        <w:rPr>
          <w:rFonts w:eastAsia="Calibri"/>
          <w:sz w:val="24"/>
          <w:szCs w:val="24"/>
        </w:rPr>
        <w:t xml:space="preserve"> and </w:t>
      </w:r>
      <w:proofErr w:type="spellStart"/>
      <w:r>
        <w:rPr>
          <w:rFonts w:eastAsia="Calibri"/>
          <w:sz w:val="24"/>
          <w:szCs w:val="24"/>
        </w:rPr>
        <w:t>Umatac-Merizo</w:t>
      </w:r>
      <w:proofErr w:type="spellEnd"/>
      <w:r>
        <w:rPr>
          <w:rFonts w:eastAsia="Calibri"/>
          <w:sz w:val="24"/>
          <w:szCs w:val="24"/>
        </w:rPr>
        <w:t xml:space="preserve"> </w:t>
      </w:r>
      <w:proofErr w:type="spellStart"/>
      <w:r>
        <w:rPr>
          <w:rFonts w:eastAsia="Calibri"/>
          <w:sz w:val="24"/>
          <w:szCs w:val="24"/>
        </w:rPr>
        <w:t>WWTP</w:t>
      </w:r>
      <w:proofErr w:type="spellEnd"/>
      <w:r>
        <w:rPr>
          <w:rFonts w:eastAsia="Calibri"/>
          <w:sz w:val="24"/>
          <w:szCs w:val="24"/>
        </w:rPr>
        <w:t>.</w:t>
      </w:r>
      <w:r w:rsidR="007070AE">
        <w:rPr>
          <w:rFonts w:eastAsia="Calibri"/>
          <w:sz w:val="24"/>
          <w:szCs w:val="24"/>
        </w:rPr>
        <w:t xml:space="preserve">  </w:t>
      </w:r>
      <w:r>
        <w:rPr>
          <w:rFonts w:eastAsia="Calibri"/>
          <w:sz w:val="24"/>
          <w:szCs w:val="24"/>
        </w:rPr>
        <w:t xml:space="preserve">In particular, the </w:t>
      </w:r>
      <w:r>
        <w:rPr>
          <w:rFonts w:eastAsia="Calibri"/>
          <w:sz w:val="24"/>
          <w:szCs w:val="24"/>
        </w:rPr>
        <w:lastRenderedPageBreak/>
        <w:t xml:space="preserve">Amended Stipulated Order requires that </w:t>
      </w:r>
      <w:proofErr w:type="spellStart"/>
      <w:r>
        <w:rPr>
          <w:rFonts w:eastAsia="Calibri"/>
          <w:sz w:val="24"/>
          <w:szCs w:val="24"/>
        </w:rPr>
        <w:t>GWA</w:t>
      </w:r>
      <w:proofErr w:type="spellEnd"/>
      <w:r>
        <w:rPr>
          <w:rFonts w:eastAsia="Calibri"/>
          <w:sz w:val="24"/>
          <w:szCs w:val="24"/>
        </w:rPr>
        <w:t xml:space="preserve"> complete the Baza Gardens Wastewater Systems Upgrade by April 30, 2018.  Amended Stipulated Order, pp. 24-25 (Nov. 10, 2011).  In addition, the Amended Stipulated Order also requires that </w:t>
      </w:r>
      <w:proofErr w:type="spellStart"/>
      <w:r>
        <w:rPr>
          <w:rFonts w:eastAsia="Calibri"/>
          <w:sz w:val="24"/>
          <w:szCs w:val="24"/>
        </w:rPr>
        <w:t>GWA</w:t>
      </w:r>
      <w:proofErr w:type="spellEnd"/>
      <w:r>
        <w:rPr>
          <w:rFonts w:eastAsia="Calibri"/>
          <w:sz w:val="24"/>
          <w:szCs w:val="24"/>
        </w:rPr>
        <w:t xml:space="preserve"> complete the </w:t>
      </w:r>
      <w:proofErr w:type="spellStart"/>
      <w:r>
        <w:rPr>
          <w:rFonts w:eastAsia="Calibri"/>
          <w:sz w:val="24"/>
          <w:szCs w:val="24"/>
        </w:rPr>
        <w:t>Umatac-Merizo</w:t>
      </w:r>
      <w:proofErr w:type="spellEnd"/>
      <w:r>
        <w:rPr>
          <w:rFonts w:eastAsia="Calibri"/>
          <w:sz w:val="24"/>
          <w:szCs w:val="24"/>
        </w:rPr>
        <w:t xml:space="preserve"> Systems Upgrade by December 31, 2018, but that by June 30, 2017, GWA must “execute a construction contract and issue a notice to proceed with construction.”  </w:t>
      </w:r>
      <w:proofErr w:type="gramStart"/>
      <w:r>
        <w:rPr>
          <w:rFonts w:eastAsia="Calibri"/>
          <w:sz w:val="24"/>
          <w:szCs w:val="24"/>
        </w:rPr>
        <w:t>Amended Stipulated Order, pp. 25-26.</w:t>
      </w:r>
      <w:proofErr w:type="gramEnd"/>
    </w:p>
    <w:p w:rsidR="005E0EB6" w:rsidRPr="00882B6D" w:rsidRDefault="00E14A88" w:rsidP="00A654B8">
      <w:pPr>
        <w:spacing w:line="480" w:lineRule="auto"/>
        <w:jc w:val="both"/>
        <w:rPr>
          <w:b/>
          <w:sz w:val="24"/>
          <w:szCs w:val="24"/>
        </w:rPr>
      </w:pPr>
      <w:r>
        <w:rPr>
          <w:rFonts w:eastAsia="Calibri"/>
          <w:sz w:val="24"/>
          <w:szCs w:val="24"/>
        </w:rPr>
        <w:tab/>
      </w:r>
      <w:r>
        <w:rPr>
          <w:rFonts w:eastAsia="Calibri"/>
          <w:sz w:val="24"/>
          <w:szCs w:val="24"/>
        </w:rPr>
        <w:tab/>
      </w:r>
      <w:r w:rsidRPr="00FE7C6A">
        <w:rPr>
          <w:rFonts w:eastAsia="Calibri"/>
          <w:sz w:val="24"/>
          <w:szCs w:val="24"/>
        </w:rPr>
        <w:t>Accordingly, the ALJ f</w:t>
      </w:r>
      <w:r w:rsidR="00A654B8">
        <w:rPr>
          <w:rFonts w:eastAsia="Calibri"/>
          <w:sz w:val="24"/>
          <w:szCs w:val="24"/>
        </w:rPr>
        <w:t>ound</w:t>
      </w:r>
      <w:r w:rsidRPr="00FE7C6A">
        <w:rPr>
          <w:rFonts w:eastAsia="Calibri"/>
          <w:sz w:val="24"/>
          <w:szCs w:val="24"/>
        </w:rPr>
        <w:t xml:space="preserve"> that </w:t>
      </w:r>
      <w:r>
        <w:rPr>
          <w:rFonts w:eastAsia="Calibri"/>
          <w:sz w:val="24"/>
          <w:szCs w:val="24"/>
        </w:rPr>
        <w:t>the reallocation</w:t>
      </w:r>
      <w:r w:rsidRPr="00D06BDF">
        <w:rPr>
          <w:rFonts w:eastAsia="Calibri"/>
          <w:sz w:val="24"/>
          <w:szCs w:val="24"/>
        </w:rPr>
        <w:t xml:space="preserve"> </w:t>
      </w:r>
      <w:r w:rsidR="00541C03">
        <w:rPr>
          <w:rFonts w:eastAsia="Calibri"/>
          <w:sz w:val="24"/>
          <w:szCs w:val="24"/>
        </w:rPr>
        <w:t xml:space="preserve">in this instance </w:t>
      </w:r>
      <w:r w:rsidR="00A654B8">
        <w:rPr>
          <w:rFonts w:eastAsia="Calibri"/>
          <w:sz w:val="24"/>
          <w:szCs w:val="24"/>
        </w:rPr>
        <w:t>is</w:t>
      </w:r>
      <w:r w:rsidRPr="00D06BDF">
        <w:rPr>
          <w:rFonts w:eastAsia="Calibri"/>
          <w:sz w:val="24"/>
          <w:szCs w:val="24"/>
        </w:rPr>
        <w:t xml:space="preserve"> reasonable and necessary given GWA’s </w:t>
      </w:r>
      <w:r w:rsidR="00541C03">
        <w:rPr>
          <w:rFonts w:eastAsia="Calibri"/>
          <w:sz w:val="24"/>
          <w:szCs w:val="24"/>
        </w:rPr>
        <w:t>need to comply</w:t>
      </w:r>
      <w:r>
        <w:rPr>
          <w:rFonts w:eastAsia="Calibri"/>
          <w:sz w:val="24"/>
          <w:szCs w:val="24"/>
        </w:rPr>
        <w:t xml:space="preserve"> with its obligations under the federal </w:t>
      </w:r>
      <w:r w:rsidRPr="00FE7C6A">
        <w:rPr>
          <w:rFonts w:eastAsia="Calibri"/>
          <w:sz w:val="24"/>
          <w:szCs w:val="24"/>
        </w:rPr>
        <w:t>Amended Stipulated Order</w:t>
      </w:r>
      <w:r>
        <w:rPr>
          <w:rFonts w:eastAsia="Calibri"/>
          <w:sz w:val="24"/>
          <w:szCs w:val="24"/>
        </w:rPr>
        <w:t xml:space="preserve">.  The </w:t>
      </w:r>
      <w:proofErr w:type="spellStart"/>
      <w:r>
        <w:rPr>
          <w:rFonts w:eastAsia="Calibri"/>
          <w:sz w:val="24"/>
          <w:szCs w:val="24"/>
        </w:rPr>
        <w:t>ALJ</w:t>
      </w:r>
      <w:proofErr w:type="spellEnd"/>
      <w:r>
        <w:rPr>
          <w:rFonts w:eastAsia="Calibri"/>
          <w:sz w:val="24"/>
          <w:szCs w:val="24"/>
        </w:rPr>
        <w:t xml:space="preserve">, therefore, </w:t>
      </w:r>
      <w:r w:rsidRPr="00FE7C6A">
        <w:rPr>
          <w:rFonts w:eastAsia="Calibri"/>
          <w:sz w:val="24"/>
          <w:szCs w:val="24"/>
        </w:rPr>
        <w:t>recommend</w:t>
      </w:r>
      <w:r w:rsidR="00A654B8">
        <w:rPr>
          <w:rFonts w:eastAsia="Calibri"/>
          <w:sz w:val="24"/>
          <w:szCs w:val="24"/>
        </w:rPr>
        <w:t>ed</w:t>
      </w:r>
      <w:r w:rsidRPr="00FE7C6A">
        <w:rPr>
          <w:rFonts w:eastAsia="Calibri"/>
          <w:sz w:val="24"/>
          <w:szCs w:val="24"/>
        </w:rPr>
        <w:t xml:space="preserve"> </w:t>
      </w:r>
      <w:r>
        <w:rPr>
          <w:rFonts w:eastAsia="Calibri"/>
          <w:sz w:val="24"/>
          <w:szCs w:val="24"/>
        </w:rPr>
        <w:t xml:space="preserve">the </w:t>
      </w:r>
      <w:r w:rsidRPr="00FE7C6A">
        <w:rPr>
          <w:rFonts w:eastAsia="Calibri"/>
          <w:sz w:val="24"/>
          <w:szCs w:val="24"/>
        </w:rPr>
        <w:t>PUC’s approval of the Petition.</w:t>
      </w:r>
      <w:r>
        <w:rPr>
          <w:rFonts w:eastAsia="Calibri"/>
          <w:sz w:val="24"/>
          <w:szCs w:val="24"/>
        </w:rPr>
        <w:t xml:space="preserve">  </w:t>
      </w:r>
      <w:r w:rsidRPr="00A654B8">
        <w:rPr>
          <w:sz w:val="24"/>
          <w:szCs w:val="24"/>
        </w:rPr>
        <w:t>However, the ALJ recommend</w:t>
      </w:r>
      <w:r w:rsidR="00A654B8" w:rsidRPr="00A654B8">
        <w:rPr>
          <w:sz w:val="24"/>
          <w:szCs w:val="24"/>
        </w:rPr>
        <w:t>ed</w:t>
      </w:r>
      <w:r w:rsidRPr="00A654B8">
        <w:rPr>
          <w:sz w:val="24"/>
          <w:szCs w:val="24"/>
        </w:rPr>
        <w:t xml:space="preserve"> that GWA submit to the PUC</w:t>
      </w:r>
      <w:r w:rsidR="0097347F">
        <w:rPr>
          <w:sz w:val="24"/>
          <w:szCs w:val="24"/>
        </w:rPr>
        <w:t xml:space="preserve"> a report detailing</w:t>
      </w:r>
      <w:r w:rsidRPr="00A654B8">
        <w:rPr>
          <w:sz w:val="24"/>
          <w:szCs w:val="24"/>
        </w:rPr>
        <w:t xml:space="preserve"> updates on its CIP projects that </w:t>
      </w:r>
      <w:r w:rsidR="00541C03" w:rsidRPr="00A654B8">
        <w:rPr>
          <w:sz w:val="24"/>
          <w:szCs w:val="24"/>
        </w:rPr>
        <w:t>are funded by bond proceeds</w:t>
      </w:r>
      <w:r w:rsidRPr="00F93BD4">
        <w:rPr>
          <w:sz w:val="24"/>
          <w:szCs w:val="24"/>
        </w:rPr>
        <w:t xml:space="preserve">, </w:t>
      </w:r>
      <w:r w:rsidR="00541C03">
        <w:rPr>
          <w:sz w:val="24"/>
          <w:szCs w:val="24"/>
        </w:rPr>
        <w:t>specifically</w:t>
      </w:r>
      <w:r>
        <w:rPr>
          <w:sz w:val="24"/>
          <w:szCs w:val="24"/>
        </w:rPr>
        <w:t xml:space="preserve"> </w:t>
      </w:r>
      <w:r w:rsidRPr="00F93BD4">
        <w:rPr>
          <w:sz w:val="24"/>
          <w:szCs w:val="24"/>
        </w:rPr>
        <w:t xml:space="preserve">projects </w:t>
      </w:r>
      <w:r w:rsidR="00541C03">
        <w:rPr>
          <w:sz w:val="24"/>
          <w:szCs w:val="24"/>
        </w:rPr>
        <w:t>funded by</w:t>
      </w:r>
      <w:r w:rsidR="0097347F">
        <w:rPr>
          <w:sz w:val="24"/>
          <w:szCs w:val="24"/>
        </w:rPr>
        <w:t xml:space="preserve"> the 2010, 2013 and 2016</w:t>
      </w:r>
      <w:r w:rsidR="00541C03">
        <w:rPr>
          <w:sz w:val="24"/>
          <w:szCs w:val="24"/>
        </w:rPr>
        <w:t xml:space="preserve"> </w:t>
      </w:r>
      <w:r w:rsidR="0097347F">
        <w:rPr>
          <w:sz w:val="24"/>
          <w:szCs w:val="24"/>
        </w:rPr>
        <w:t>bond proceeds</w:t>
      </w:r>
      <w:r w:rsidRPr="00F93BD4">
        <w:rPr>
          <w:sz w:val="24"/>
          <w:szCs w:val="24"/>
        </w:rPr>
        <w:t>.</w:t>
      </w:r>
      <w:r>
        <w:rPr>
          <w:sz w:val="24"/>
          <w:szCs w:val="24"/>
        </w:rPr>
        <w:t xml:space="preserve">  Where projects have been completed, GWA should indicate that such projects have been completed.  </w:t>
      </w:r>
    </w:p>
    <w:p w:rsidR="00A654B8" w:rsidRPr="00434327" w:rsidRDefault="00A654B8" w:rsidP="00A654B8">
      <w:pPr>
        <w:spacing w:line="480" w:lineRule="auto"/>
        <w:jc w:val="both"/>
        <w:rPr>
          <w:sz w:val="24"/>
          <w:szCs w:val="24"/>
        </w:rPr>
      </w:pPr>
      <w:r>
        <w:rPr>
          <w:sz w:val="24"/>
          <w:szCs w:val="24"/>
        </w:rPr>
        <w:tab/>
      </w:r>
      <w:r>
        <w:rPr>
          <w:sz w:val="24"/>
          <w:szCs w:val="24"/>
        </w:rPr>
        <w:tab/>
        <w:t xml:space="preserve">The Commission hereby adopts the findings contained in the </w:t>
      </w:r>
      <w:r w:rsidR="0097347F">
        <w:rPr>
          <w:sz w:val="24"/>
          <w:szCs w:val="24"/>
        </w:rPr>
        <w:t>February 22, 2017</w:t>
      </w:r>
      <w:r>
        <w:rPr>
          <w:sz w:val="24"/>
          <w:szCs w:val="24"/>
        </w:rPr>
        <w:t xml:space="preserve"> </w:t>
      </w:r>
      <w:proofErr w:type="spellStart"/>
      <w:r>
        <w:rPr>
          <w:sz w:val="24"/>
          <w:szCs w:val="24"/>
        </w:rPr>
        <w:t>ALJ</w:t>
      </w:r>
      <w:proofErr w:type="spellEnd"/>
      <w:r>
        <w:rPr>
          <w:sz w:val="24"/>
          <w:szCs w:val="24"/>
        </w:rPr>
        <w:t xml:space="preserve"> Report and, therefore, issues the following:</w:t>
      </w:r>
    </w:p>
    <w:p w:rsidR="00A654B8" w:rsidRPr="00B82F68" w:rsidRDefault="00A654B8" w:rsidP="00A654B8">
      <w:pPr>
        <w:spacing w:line="240" w:lineRule="auto"/>
        <w:jc w:val="center"/>
        <w:rPr>
          <w:b/>
          <w:sz w:val="24"/>
          <w:szCs w:val="24"/>
          <w:u w:val="single"/>
        </w:rPr>
      </w:pPr>
      <w:r>
        <w:rPr>
          <w:b/>
          <w:sz w:val="24"/>
          <w:szCs w:val="24"/>
          <w:u w:val="single"/>
        </w:rPr>
        <w:t>ORDERING PROVISIONS</w:t>
      </w:r>
    </w:p>
    <w:p w:rsidR="00A654B8" w:rsidRDefault="00A654B8" w:rsidP="00A654B8">
      <w:pPr>
        <w:spacing w:line="240" w:lineRule="auto"/>
        <w:jc w:val="both"/>
        <w:rPr>
          <w:sz w:val="24"/>
          <w:szCs w:val="24"/>
        </w:rPr>
      </w:pPr>
    </w:p>
    <w:p w:rsidR="00A654B8" w:rsidRPr="008C3361" w:rsidRDefault="00A654B8" w:rsidP="00A654B8">
      <w:pPr>
        <w:spacing w:line="480" w:lineRule="auto"/>
        <w:jc w:val="both"/>
        <w:rPr>
          <w:sz w:val="24"/>
          <w:szCs w:val="24"/>
        </w:rPr>
      </w:pPr>
      <w:r w:rsidRPr="008C3361">
        <w:rPr>
          <w:sz w:val="24"/>
          <w:szCs w:val="24"/>
        </w:rPr>
        <w:tab/>
      </w:r>
      <w:r w:rsidRPr="008C3361">
        <w:rPr>
          <w:sz w:val="24"/>
          <w:szCs w:val="24"/>
        </w:rPr>
        <w:tab/>
        <w:t xml:space="preserve">After careful review and consideration of the above determinations, the </w:t>
      </w:r>
      <w:r>
        <w:rPr>
          <w:sz w:val="24"/>
          <w:szCs w:val="24"/>
        </w:rPr>
        <w:t>February 22, 2017</w:t>
      </w:r>
      <w:r w:rsidRPr="008C3361">
        <w:rPr>
          <w:sz w:val="24"/>
          <w:szCs w:val="24"/>
        </w:rPr>
        <w:t xml:space="preserve"> </w:t>
      </w:r>
      <w:proofErr w:type="spellStart"/>
      <w:r w:rsidRPr="008C3361">
        <w:rPr>
          <w:sz w:val="24"/>
          <w:szCs w:val="24"/>
        </w:rPr>
        <w:t>ALJ</w:t>
      </w:r>
      <w:proofErr w:type="spellEnd"/>
      <w:r w:rsidRPr="008C3361">
        <w:rPr>
          <w:sz w:val="24"/>
          <w:szCs w:val="24"/>
        </w:rPr>
        <w:t xml:space="preserve"> Report, and the record herein, for good cause shown, on motion duly made, seconded and carried by the undersigned Commissioners, the Guam Public Utilities Commission hereby ORDERS the following:</w:t>
      </w:r>
    </w:p>
    <w:p w:rsidR="00A654B8" w:rsidRDefault="00A654B8" w:rsidP="00A654B8">
      <w:pPr>
        <w:numPr>
          <w:ilvl w:val="0"/>
          <w:numId w:val="11"/>
        </w:numPr>
        <w:spacing w:line="480" w:lineRule="auto"/>
        <w:ind w:left="0" w:firstLine="1440"/>
        <w:jc w:val="both"/>
        <w:rPr>
          <w:sz w:val="24"/>
        </w:rPr>
      </w:pPr>
      <w:r w:rsidRPr="00787A3E">
        <w:rPr>
          <w:sz w:val="24"/>
        </w:rPr>
        <w:t xml:space="preserve">That </w:t>
      </w:r>
      <w:proofErr w:type="spellStart"/>
      <w:r>
        <w:rPr>
          <w:sz w:val="24"/>
        </w:rPr>
        <w:t>GWA’s</w:t>
      </w:r>
      <w:proofErr w:type="spellEnd"/>
      <w:r>
        <w:rPr>
          <w:sz w:val="24"/>
        </w:rPr>
        <w:t xml:space="preserve"> </w:t>
      </w:r>
      <w:r>
        <w:rPr>
          <w:sz w:val="24"/>
          <w:szCs w:val="24"/>
        </w:rPr>
        <w:t xml:space="preserve">request for the reallocation of </w:t>
      </w:r>
      <w:r w:rsidR="009B170D" w:rsidRPr="00FE7C6A">
        <w:rPr>
          <w:rFonts w:eastAsia="Calibri"/>
          <w:sz w:val="24"/>
          <w:szCs w:val="24"/>
        </w:rPr>
        <w:t>$</w:t>
      </w:r>
      <w:r w:rsidR="009B170D">
        <w:rPr>
          <w:rFonts w:eastAsia="Calibri"/>
          <w:sz w:val="24"/>
          <w:szCs w:val="24"/>
        </w:rPr>
        <w:t xml:space="preserve">29.6 million of 2010, 2013, and 2016 bond funds to </w:t>
      </w:r>
      <w:r w:rsidR="009B170D">
        <w:rPr>
          <w:sz w:val="24"/>
          <w:szCs w:val="24"/>
        </w:rPr>
        <w:t xml:space="preserve">advance the timing of certain capital improvement </w:t>
      </w:r>
      <w:r w:rsidR="009B170D" w:rsidRPr="0041777A">
        <w:rPr>
          <w:sz w:val="24"/>
          <w:szCs w:val="24"/>
        </w:rPr>
        <w:t>projects</w:t>
      </w:r>
      <w:r w:rsidR="009B170D">
        <w:rPr>
          <w:sz w:val="24"/>
          <w:szCs w:val="24"/>
        </w:rPr>
        <w:t xml:space="preserve"> </w:t>
      </w:r>
      <w:r>
        <w:rPr>
          <w:sz w:val="24"/>
          <w:szCs w:val="24"/>
        </w:rPr>
        <w:t xml:space="preserve">is APPROVED and </w:t>
      </w:r>
      <w:proofErr w:type="spellStart"/>
      <w:r w:rsidRPr="00787A3E">
        <w:rPr>
          <w:sz w:val="24"/>
        </w:rPr>
        <w:t>GWA’s</w:t>
      </w:r>
      <w:proofErr w:type="spellEnd"/>
      <w:r w:rsidRPr="00787A3E">
        <w:rPr>
          <w:sz w:val="24"/>
        </w:rPr>
        <w:t xml:space="preserve"> </w:t>
      </w:r>
      <w:r w:rsidR="009B170D">
        <w:rPr>
          <w:sz w:val="24"/>
        </w:rPr>
        <w:t>February 13, 2017</w:t>
      </w:r>
      <w:r w:rsidRPr="00787A3E">
        <w:rPr>
          <w:sz w:val="24"/>
        </w:rPr>
        <w:t xml:space="preserve"> Petition is </w:t>
      </w:r>
      <w:r>
        <w:rPr>
          <w:sz w:val="24"/>
        </w:rPr>
        <w:t>GRANTED</w:t>
      </w:r>
      <w:r w:rsidRPr="00787A3E">
        <w:rPr>
          <w:sz w:val="24"/>
        </w:rPr>
        <w:t>.</w:t>
      </w:r>
    </w:p>
    <w:p w:rsidR="00A654B8" w:rsidRPr="007B26F6" w:rsidRDefault="00A654B8" w:rsidP="00A654B8">
      <w:pPr>
        <w:numPr>
          <w:ilvl w:val="0"/>
          <w:numId w:val="11"/>
        </w:numPr>
        <w:spacing w:line="480" w:lineRule="auto"/>
        <w:ind w:left="0" w:firstLine="1440"/>
        <w:jc w:val="both"/>
        <w:rPr>
          <w:sz w:val="24"/>
        </w:rPr>
      </w:pPr>
      <w:proofErr w:type="spellStart"/>
      <w:r>
        <w:rPr>
          <w:sz w:val="24"/>
          <w:szCs w:val="24"/>
        </w:rPr>
        <w:lastRenderedPageBreak/>
        <w:t>GWA</w:t>
      </w:r>
      <w:proofErr w:type="spellEnd"/>
      <w:r>
        <w:rPr>
          <w:sz w:val="24"/>
          <w:szCs w:val="24"/>
        </w:rPr>
        <w:t xml:space="preserve"> shall submit to the PUC a report detailing </w:t>
      </w:r>
      <w:r w:rsidR="00CD6E0F">
        <w:rPr>
          <w:sz w:val="24"/>
          <w:szCs w:val="24"/>
        </w:rPr>
        <w:t xml:space="preserve">updates on its </w:t>
      </w:r>
      <w:r w:rsidR="0097347F">
        <w:rPr>
          <w:sz w:val="24"/>
          <w:szCs w:val="24"/>
        </w:rPr>
        <w:t>Capital Improvement P</w:t>
      </w:r>
      <w:r>
        <w:rPr>
          <w:sz w:val="24"/>
          <w:szCs w:val="24"/>
        </w:rPr>
        <w:t>rojects</w:t>
      </w:r>
      <w:r w:rsidR="0097347F">
        <w:rPr>
          <w:sz w:val="24"/>
          <w:szCs w:val="24"/>
        </w:rPr>
        <w:t xml:space="preserve"> funded by bond p</w:t>
      </w:r>
      <w:r w:rsidR="009B170D">
        <w:rPr>
          <w:sz w:val="24"/>
          <w:szCs w:val="24"/>
        </w:rPr>
        <w:t>roceeds</w:t>
      </w:r>
      <w:r>
        <w:rPr>
          <w:sz w:val="24"/>
          <w:szCs w:val="24"/>
        </w:rPr>
        <w:t xml:space="preserve">, </w:t>
      </w:r>
      <w:r w:rsidR="0097347F">
        <w:rPr>
          <w:sz w:val="24"/>
          <w:szCs w:val="24"/>
        </w:rPr>
        <w:t xml:space="preserve">specifically projects funded by 2010, 2013 and 2016 bond proceeds, </w:t>
      </w:r>
      <w:r>
        <w:rPr>
          <w:sz w:val="24"/>
          <w:szCs w:val="24"/>
        </w:rPr>
        <w:t xml:space="preserve">including a timeline of events and deadlines for any outstanding projects, by </w:t>
      </w:r>
      <w:r w:rsidR="0097347F">
        <w:rPr>
          <w:sz w:val="24"/>
          <w:szCs w:val="24"/>
        </w:rPr>
        <w:t>April 1, 2017</w:t>
      </w:r>
      <w:r>
        <w:rPr>
          <w:sz w:val="24"/>
          <w:szCs w:val="24"/>
        </w:rPr>
        <w:t>.</w:t>
      </w:r>
      <w:r w:rsidR="00CD6E0F">
        <w:rPr>
          <w:sz w:val="24"/>
          <w:szCs w:val="24"/>
        </w:rPr>
        <w:t xml:space="preserve">  Where projects have been completed, </w:t>
      </w:r>
      <w:proofErr w:type="spellStart"/>
      <w:r w:rsidR="00CD6E0F">
        <w:rPr>
          <w:sz w:val="24"/>
          <w:szCs w:val="24"/>
        </w:rPr>
        <w:t>GWA</w:t>
      </w:r>
      <w:proofErr w:type="spellEnd"/>
      <w:r w:rsidR="00CD6E0F">
        <w:rPr>
          <w:sz w:val="24"/>
          <w:szCs w:val="24"/>
        </w:rPr>
        <w:t xml:space="preserve"> should indicate that such projects have been completed.  </w:t>
      </w:r>
    </w:p>
    <w:p w:rsidR="00A654B8" w:rsidRDefault="00A654B8" w:rsidP="00A654B8">
      <w:pPr>
        <w:numPr>
          <w:ilvl w:val="0"/>
          <w:numId w:val="11"/>
        </w:numPr>
        <w:spacing w:line="480" w:lineRule="auto"/>
        <w:ind w:left="0" w:firstLine="1440"/>
        <w:jc w:val="both"/>
        <w:rPr>
          <w:sz w:val="24"/>
          <w:szCs w:val="24"/>
        </w:rPr>
      </w:pPr>
      <w:proofErr w:type="spellStart"/>
      <w:r w:rsidRPr="008C3361">
        <w:rPr>
          <w:sz w:val="24"/>
          <w:szCs w:val="24"/>
        </w:rPr>
        <w:t>GWA</w:t>
      </w:r>
      <w:proofErr w:type="spellEnd"/>
      <w:r w:rsidRPr="008C3361">
        <w:rPr>
          <w:sz w:val="24"/>
          <w:szCs w:val="24"/>
        </w:rPr>
        <w:t xml:space="preserve"> is ordered to pay the Commission’s regulatory fees and expenses, including, without limitation, consulting and counsel fees and the fees and expenses associated with the instant </w:t>
      </w:r>
      <w:r>
        <w:rPr>
          <w:sz w:val="24"/>
          <w:szCs w:val="24"/>
        </w:rPr>
        <w:t>proceeding</w:t>
      </w:r>
      <w:r w:rsidRPr="008C3361">
        <w:rPr>
          <w:sz w:val="24"/>
          <w:szCs w:val="24"/>
        </w:rPr>
        <w:t xml:space="preserve">.  Assessment of the PUC’s regulatory fees and expenses is authorized pursuant to 12 </w:t>
      </w:r>
      <w:proofErr w:type="spellStart"/>
      <w:r w:rsidRPr="008C3361">
        <w:rPr>
          <w:sz w:val="24"/>
          <w:szCs w:val="24"/>
        </w:rPr>
        <w:t>G.C.A.</w:t>
      </w:r>
      <w:proofErr w:type="spellEnd"/>
      <w:r w:rsidRPr="008C3361">
        <w:rPr>
          <w:sz w:val="24"/>
          <w:szCs w:val="24"/>
        </w:rPr>
        <w:t xml:space="preserve"> §§</w:t>
      </w:r>
      <w:r>
        <w:rPr>
          <w:sz w:val="24"/>
          <w:szCs w:val="24"/>
        </w:rPr>
        <w:t xml:space="preserve"> </w:t>
      </w:r>
      <w:r w:rsidRPr="008C3361">
        <w:rPr>
          <w:sz w:val="24"/>
          <w:szCs w:val="24"/>
        </w:rPr>
        <w:t>12002(b), 12024(b)</w:t>
      </w:r>
      <w:r>
        <w:rPr>
          <w:sz w:val="24"/>
          <w:szCs w:val="24"/>
        </w:rPr>
        <w:t xml:space="preserve"> </w:t>
      </w:r>
      <w:r w:rsidRPr="002E67B3">
        <w:rPr>
          <w:sz w:val="24"/>
          <w:szCs w:val="24"/>
        </w:rPr>
        <w:t xml:space="preserve">(renumbered as 12 </w:t>
      </w:r>
      <w:proofErr w:type="spellStart"/>
      <w:r w:rsidRPr="002E67B3">
        <w:rPr>
          <w:sz w:val="24"/>
          <w:szCs w:val="24"/>
        </w:rPr>
        <w:t>G.C.A.</w:t>
      </w:r>
      <w:proofErr w:type="spellEnd"/>
      <w:r w:rsidRPr="002E67B3">
        <w:rPr>
          <w:sz w:val="24"/>
          <w:szCs w:val="24"/>
        </w:rPr>
        <w:t xml:space="preserve"> §§ 12103(b) and 12125(b))</w:t>
      </w:r>
      <w:r w:rsidRPr="008C3361">
        <w:rPr>
          <w:sz w:val="24"/>
          <w:szCs w:val="24"/>
        </w:rPr>
        <w:t>, and Rule 40 of the Rules of Practice and Procedure before the Public Utilities Commission.</w:t>
      </w:r>
    </w:p>
    <w:p w:rsidR="00504C46" w:rsidRDefault="00504C46" w:rsidP="009B170D">
      <w:pPr>
        <w:spacing w:line="480" w:lineRule="auto"/>
        <w:jc w:val="both"/>
        <w:rPr>
          <w:sz w:val="24"/>
          <w:szCs w:val="24"/>
        </w:rPr>
      </w:pPr>
    </w:p>
    <w:p w:rsidR="0041777A" w:rsidRDefault="0041777A" w:rsidP="009B170D">
      <w:pPr>
        <w:spacing w:line="480" w:lineRule="auto"/>
        <w:jc w:val="both"/>
        <w:rPr>
          <w:sz w:val="24"/>
          <w:szCs w:val="24"/>
        </w:rPr>
      </w:pPr>
    </w:p>
    <w:p w:rsidR="009B170D" w:rsidRDefault="009B170D" w:rsidP="009B170D">
      <w:pPr>
        <w:spacing w:line="480" w:lineRule="auto"/>
        <w:jc w:val="center"/>
        <w:rPr>
          <w:sz w:val="24"/>
          <w:szCs w:val="24"/>
        </w:rPr>
      </w:pPr>
      <w:r>
        <w:rPr>
          <w:sz w:val="24"/>
          <w:szCs w:val="24"/>
        </w:rPr>
        <w:t>[SIGNATURES TO FOLLOW ON NEXT PAGE]</w:t>
      </w:r>
    </w:p>
    <w:p w:rsidR="009B170D" w:rsidRDefault="009B170D" w:rsidP="009B170D">
      <w:pPr>
        <w:spacing w:line="480" w:lineRule="auto"/>
        <w:jc w:val="both"/>
        <w:rPr>
          <w:sz w:val="24"/>
          <w:szCs w:val="24"/>
        </w:rPr>
      </w:pPr>
      <w:r>
        <w:rPr>
          <w:sz w:val="24"/>
          <w:szCs w:val="24"/>
        </w:rPr>
        <w:t>/  /</w:t>
      </w:r>
    </w:p>
    <w:p w:rsidR="009B170D" w:rsidRDefault="009B170D" w:rsidP="009B170D">
      <w:pPr>
        <w:spacing w:line="480" w:lineRule="auto"/>
        <w:jc w:val="both"/>
        <w:rPr>
          <w:sz w:val="24"/>
          <w:szCs w:val="24"/>
        </w:rPr>
      </w:pPr>
    </w:p>
    <w:p w:rsidR="009B170D" w:rsidRDefault="009B170D" w:rsidP="009B170D">
      <w:pPr>
        <w:spacing w:line="480" w:lineRule="auto"/>
        <w:jc w:val="both"/>
        <w:rPr>
          <w:sz w:val="24"/>
          <w:szCs w:val="24"/>
        </w:rPr>
      </w:pPr>
      <w:r>
        <w:rPr>
          <w:sz w:val="24"/>
          <w:szCs w:val="24"/>
        </w:rPr>
        <w:t>/  /</w:t>
      </w:r>
    </w:p>
    <w:p w:rsidR="009B170D" w:rsidRDefault="009B170D" w:rsidP="009B170D">
      <w:pPr>
        <w:spacing w:line="480" w:lineRule="auto"/>
        <w:jc w:val="both"/>
        <w:rPr>
          <w:sz w:val="24"/>
          <w:szCs w:val="24"/>
        </w:rPr>
      </w:pPr>
    </w:p>
    <w:p w:rsidR="009B170D" w:rsidRDefault="009B170D" w:rsidP="009B170D">
      <w:pPr>
        <w:spacing w:line="480" w:lineRule="auto"/>
        <w:jc w:val="both"/>
        <w:rPr>
          <w:sz w:val="24"/>
          <w:szCs w:val="24"/>
        </w:rPr>
      </w:pPr>
      <w:r>
        <w:rPr>
          <w:sz w:val="24"/>
          <w:szCs w:val="24"/>
        </w:rPr>
        <w:t>/  /</w:t>
      </w:r>
    </w:p>
    <w:p w:rsidR="00A20151" w:rsidRDefault="00A20151" w:rsidP="009B170D">
      <w:pPr>
        <w:spacing w:line="480" w:lineRule="auto"/>
        <w:jc w:val="both"/>
        <w:rPr>
          <w:sz w:val="24"/>
          <w:szCs w:val="24"/>
        </w:rPr>
      </w:pPr>
    </w:p>
    <w:p w:rsidR="00CD6E0F" w:rsidRDefault="00CD6E0F" w:rsidP="00CD6E0F">
      <w:pPr>
        <w:spacing w:line="480" w:lineRule="auto"/>
        <w:jc w:val="both"/>
        <w:rPr>
          <w:sz w:val="24"/>
          <w:szCs w:val="24"/>
        </w:rPr>
      </w:pPr>
      <w:r>
        <w:rPr>
          <w:sz w:val="24"/>
          <w:szCs w:val="24"/>
        </w:rPr>
        <w:t>/  /</w:t>
      </w:r>
    </w:p>
    <w:p w:rsidR="00CD6E0F" w:rsidRDefault="00CD6E0F" w:rsidP="00CD6E0F">
      <w:pPr>
        <w:spacing w:line="480" w:lineRule="auto"/>
        <w:jc w:val="both"/>
        <w:rPr>
          <w:sz w:val="24"/>
          <w:szCs w:val="24"/>
        </w:rPr>
      </w:pPr>
    </w:p>
    <w:p w:rsidR="009B170D" w:rsidRDefault="00CD6E0F" w:rsidP="00A20151">
      <w:pPr>
        <w:spacing w:line="480" w:lineRule="auto"/>
        <w:jc w:val="both"/>
        <w:rPr>
          <w:sz w:val="24"/>
          <w:szCs w:val="24"/>
        </w:rPr>
      </w:pPr>
      <w:r>
        <w:rPr>
          <w:sz w:val="24"/>
          <w:szCs w:val="24"/>
        </w:rPr>
        <w:t>/  /</w:t>
      </w:r>
      <w:r w:rsidR="009B170D">
        <w:rPr>
          <w:sz w:val="24"/>
          <w:szCs w:val="24"/>
        </w:rPr>
        <w:br w:type="page"/>
      </w:r>
    </w:p>
    <w:p w:rsidR="009B170D" w:rsidRPr="00D7167B" w:rsidRDefault="009B170D" w:rsidP="009B170D">
      <w:pPr>
        <w:spacing w:line="480" w:lineRule="auto"/>
        <w:ind w:left="1440"/>
        <w:jc w:val="both"/>
        <w:rPr>
          <w:rFonts w:eastAsia="MS Mincho"/>
          <w:sz w:val="24"/>
          <w:szCs w:val="24"/>
        </w:rPr>
      </w:pPr>
      <w:proofErr w:type="gramStart"/>
      <w:r w:rsidRPr="00D7167B">
        <w:rPr>
          <w:rFonts w:eastAsia="MS Mincho"/>
          <w:b/>
          <w:sz w:val="24"/>
          <w:szCs w:val="24"/>
        </w:rPr>
        <w:lastRenderedPageBreak/>
        <w:t>SO ORDERED</w:t>
      </w:r>
      <w:r w:rsidRPr="00D7167B">
        <w:rPr>
          <w:rFonts w:eastAsia="MS Mincho"/>
          <w:sz w:val="24"/>
          <w:szCs w:val="24"/>
        </w:rPr>
        <w:t xml:space="preserve"> this </w:t>
      </w:r>
      <w:r>
        <w:rPr>
          <w:rFonts w:eastAsia="MS Mincho"/>
          <w:sz w:val="24"/>
          <w:szCs w:val="24"/>
        </w:rPr>
        <w:t>23</w:t>
      </w:r>
      <w:r w:rsidRPr="009B170D">
        <w:rPr>
          <w:rFonts w:eastAsia="MS Mincho"/>
          <w:sz w:val="24"/>
          <w:szCs w:val="24"/>
          <w:vertAlign w:val="superscript"/>
        </w:rPr>
        <w:t>rd</w:t>
      </w:r>
      <w:r>
        <w:rPr>
          <w:rFonts w:eastAsia="MS Mincho"/>
          <w:sz w:val="24"/>
          <w:szCs w:val="24"/>
        </w:rPr>
        <w:t xml:space="preserve"> </w:t>
      </w:r>
      <w:r w:rsidRPr="00D7167B">
        <w:rPr>
          <w:rFonts w:eastAsia="MS Mincho"/>
          <w:sz w:val="24"/>
          <w:szCs w:val="24"/>
        </w:rPr>
        <w:t xml:space="preserve">day of </w:t>
      </w:r>
      <w:r>
        <w:rPr>
          <w:rFonts w:eastAsia="MS Mincho"/>
          <w:sz w:val="24"/>
          <w:szCs w:val="24"/>
        </w:rPr>
        <w:t>February</w:t>
      </w:r>
      <w:r w:rsidRPr="00D7167B">
        <w:rPr>
          <w:rFonts w:eastAsia="MS Mincho"/>
          <w:sz w:val="24"/>
          <w:szCs w:val="24"/>
        </w:rPr>
        <w:t>, 201</w:t>
      </w:r>
      <w:r>
        <w:rPr>
          <w:rFonts w:eastAsia="MS Mincho"/>
          <w:sz w:val="24"/>
          <w:szCs w:val="24"/>
        </w:rPr>
        <w:t>7</w:t>
      </w:r>
      <w:r w:rsidRPr="00D7167B">
        <w:rPr>
          <w:rFonts w:eastAsia="MS Mincho"/>
          <w:sz w:val="24"/>
          <w:szCs w:val="24"/>
        </w:rPr>
        <w:t>.</w:t>
      </w:r>
      <w:proofErr w:type="gramEnd"/>
      <w:r w:rsidRPr="00D7167B">
        <w:rPr>
          <w:rFonts w:eastAsia="MS Mincho"/>
          <w:sz w:val="24"/>
          <w:szCs w:val="24"/>
        </w:rPr>
        <w:t xml:space="preserve">  </w:t>
      </w:r>
    </w:p>
    <w:p w:rsidR="009B170D" w:rsidRPr="00D7167B" w:rsidRDefault="009B170D" w:rsidP="009B170D">
      <w:pPr>
        <w:widowControl w:val="0"/>
        <w:kinsoku w:val="0"/>
        <w:spacing w:line="240" w:lineRule="auto"/>
        <w:jc w:val="both"/>
        <w:rPr>
          <w:rFonts w:eastAsia="MS Mincho"/>
          <w:sz w:val="24"/>
          <w:szCs w:val="24"/>
        </w:rPr>
      </w:pPr>
    </w:p>
    <w:p w:rsidR="009B170D" w:rsidRDefault="009B170D" w:rsidP="009B170D">
      <w:pPr>
        <w:spacing w:line="240" w:lineRule="auto"/>
        <w:jc w:val="both"/>
        <w:rPr>
          <w:bCs/>
          <w:sz w:val="24"/>
          <w:szCs w:val="24"/>
        </w:rPr>
      </w:pPr>
    </w:p>
    <w:p w:rsidR="009B170D" w:rsidRDefault="009B170D" w:rsidP="009B170D">
      <w:pPr>
        <w:spacing w:line="240" w:lineRule="auto"/>
        <w:jc w:val="both"/>
        <w:rPr>
          <w:bCs/>
          <w:sz w:val="24"/>
          <w:szCs w:val="24"/>
        </w:rPr>
      </w:pPr>
    </w:p>
    <w:p w:rsidR="009B170D" w:rsidRPr="00D7167B" w:rsidRDefault="009B170D" w:rsidP="009B170D">
      <w:pPr>
        <w:spacing w:line="240" w:lineRule="auto"/>
        <w:jc w:val="both"/>
        <w:rPr>
          <w:bCs/>
          <w:sz w:val="24"/>
          <w:szCs w:val="24"/>
        </w:rPr>
      </w:pPr>
    </w:p>
    <w:p w:rsidR="009B170D" w:rsidRPr="00D7167B" w:rsidRDefault="009B170D" w:rsidP="009B170D">
      <w:pPr>
        <w:spacing w:line="240" w:lineRule="auto"/>
        <w:jc w:val="both"/>
        <w:rPr>
          <w:bCs/>
          <w:sz w:val="24"/>
        </w:rPr>
      </w:pP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rPr>
        <w:tab/>
      </w:r>
      <w:r w:rsidRPr="00D7167B">
        <w:rPr>
          <w:bCs/>
          <w:sz w:val="24"/>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p>
    <w:p w:rsidR="009B170D" w:rsidRPr="00D7167B" w:rsidRDefault="009B170D" w:rsidP="009B170D">
      <w:pPr>
        <w:spacing w:line="240" w:lineRule="auto"/>
        <w:jc w:val="both"/>
        <w:rPr>
          <w:b/>
          <w:bCs/>
          <w:sz w:val="24"/>
        </w:rPr>
      </w:pPr>
      <w:r w:rsidRPr="00D7167B">
        <w:rPr>
          <w:b/>
          <w:bCs/>
          <w:sz w:val="24"/>
        </w:rPr>
        <w:t>JEFFREY C. JOHNSON</w:t>
      </w:r>
      <w:r w:rsidRPr="00D7167B">
        <w:rPr>
          <w:bCs/>
          <w:sz w:val="24"/>
        </w:rPr>
        <w:tab/>
      </w:r>
      <w:r w:rsidRPr="00D7167B">
        <w:rPr>
          <w:bCs/>
          <w:sz w:val="24"/>
        </w:rPr>
        <w:tab/>
      </w:r>
      <w:r w:rsidRPr="00D7167B">
        <w:rPr>
          <w:bCs/>
          <w:sz w:val="24"/>
        </w:rPr>
        <w:tab/>
      </w:r>
      <w:r w:rsidRPr="00D7167B">
        <w:rPr>
          <w:bCs/>
          <w:sz w:val="24"/>
        </w:rPr>
        <w:tab/>
      </w:r>
      <w:r w:rsidRPr="00D7167B">
        <w:rPr>
          <w:b/>
          <w:bCs/>
          <w:sz w:val="24"/>
        </w:rPr>
        <w:t xml:space="preserve">ROWENA E. PEREZ </w:t>
      </w:r>
    </w:p>
    <w:p w:rsidR="009B170D" w:rsidRPr="00D7167B" w:rsidRDefault="009B170D" w:rsidP="009B170D">
      <w:pPr>
        <w:spacing w:line="240" w:lineRule="auto"/>
        <w:jc w:val="both"/>
        <w:rPr>
          <w:bCs/>
          <w:sz w:val="24"/>
        </w:rPr>
      </w:pPr>
      <w:r w:rsidRPr="00D7167B">
        <w:rPr>
          <w:bCs/>
          <w:sz w:val="24"/>
        </w:rPr>
        <w:t>Chairman</w:t>
      </w:r>
      <w:r w:rsidRPr="00D7167B">
        <w:rPr>
          <w:bCs/>
          <w:sz w:val="24"/>
        </w:rPr>
        <w:tab/>
      </w:r>
      <w:r w:rsidRPr="00D7167B">
        <w:rPr>
          <w:bCs/>
          <w:sz w:val="24"/>
        </w:rPr>
        <w:tab/>
      </w:r>
      <w:r w:rsidRPr="00D7167B">
        <w:rPr>
          <w:bCs/>
          <w:sz w:val="24"/>
        </w:rPr>
        <w:tab/>
      </w:r>
      <w:r w:rsidRPr="00D7167B">
        <w:rPr>
          <w:bCs/>
          <w:sz w:val="24"/>
        </w:rPr>
        <w:tab/>
      </w:r>
      <w:r w:rsidRPr="00D7167B">
        <w:rPr>
          <w:bCs/>
          <w:sz w:val="24"/>
        </w:rPr>
        <w:tab/>
      </w:r>
      <w:r w:rsidRPr="00D7167B">
        <w:rPr>
          <w:bCs/>
          <w:sz w:val="24"/>
        </w:rPr>
        <w:tab/>
        <w:t>Commissioner</w:t>
      </w:r>
    </w:p>
    <w:p w:rsidR="009B170D" w:rsidRPr="00D7167B" w:rsidRDefault="009B170D" w:rsidP="009B170D">
      <w:pPr>
        <w:spacing w:line="240" w:lineRule="auto"/>
        <w:jc w:val="both"/>
        <w:rPr>
          <w:bCs/>
          <w:sz w:val="24"/>
          <w:szCs w:val="24"/>
        </w:rPr>
      </w:pPr>
    </w:p>
    <w:p w:rsidR="009B170D" w:rsidRDefault="009B170D" w:rsidP="009B170D">
      <w:pPr>
        <w:spacing w:line="240" w:lineRule="auto"/>
        <w:jc w:val="both"/>
        <w:rPr>
          <w:bCs/>
          <w:sz w:val="24"/>
          <w:szCs w:val="24"/>
        </w:rPr>
      </w:pPr>
    </w:p>
    <w:p w:rsidR="009B170D" w:rsidRDefault="009B170D" w:rsidP="009B170D">
      <w:pPr>
        <w:spacing w:line="240" w:lineRule="auto"/>
        <w:jc w:val="both"/>
        <w:rPr>
          <w:bCs/>
          <w:sz w:val="24"/>
          <w:szCs w:val="24"/>
        </w:rPr>
      </w:pPr>
    </w:p>
    <w:p w:rsidR="009B170D" w:rsidRPr="00D7167B" w:rsidRDefault="009B170D" w:rsidP="009B170D">
      <w:pPr>
        <w:spacing w:line="240" w:lineRule="auto"/>
        <w:jc w:val="both"/>
        <w:rPr>
          <w:bCs/>
          <w:sz w:val="24"/>
          <w:szCs w:val="24"/>
        </w:rPr>
      </w:pPr>
    </w:p>
    <w:p w:rsidR="009B170D" w:rsidRPr="00D7167B" w:rsidRDefault="009B170D" w:rsidP="009B170D">
      <w:pPr>
        <w:spacing w:line="240" w:lineRule="auto"/>
        <w:jc w:val="both"/>
        <w:rPr>
          <w:bCs/>
          <w:sz w:val="24"/>
        </w:rPr>
      </w:pP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rPr>
        <w:tab/>
      </w:r>
      <w:r w:rsidRPr="00D7167B">
        <w:rPr>
          <w:bCs/>
          <w:sz w:val="24"/>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p>
    <w:p w:rsidR="009B170D" w:rsidRPr="00D7167B" w:rsidRDefault="009B170D" w:rsidP="009B170D">
      <w:pPr>
        <w:spacing w:line="240" w:lineRule="auto"/>
        <w:jc w:val="both"/>
        <w:rPr>
          <w:b/>
          <w:bCs/>
          <w:sz w:val="24"/>
        </w:rPr>
      </w:pPr>
      <w:r w:rsidRPr="00D7167B">
        <w:rPr>
          <w:b/>
          <w:bCs/>
          <w:sz w:val="24"/>
        </w:rPr>
        <w:t>JOSEPH M. MCDONALD</w:t>
      </w:r>
      <w:r w:rsidRPr="00D7167B">
        <w:rPr>
          <w:bCs/>
          <w:sz w:val="24"/>
        </w:rPr>
        <w:tab/>
      </w:r>
      <w:r w:rsidRPr="00D7167B">
        <w:rPr>
          <w:bCs/>
          <w:sz w:val="24"/>
        </w:rPr>
        <w:tab/>
      </w:r>
      <w:r w:rsidRPr="00D7167B">
        <w:rPr>
          <w:bCs/>
          <w:sz w:val="24"/>
        </w:rPr>
        <w:tab/>
      </w:r>
      <w:r w:rsidRPr="00D7167B">
        <w:rPr>
          <w:bCs/>
          <w:sz w:val="24"/>
        </w:rPr>
        <w:tab/>
      </w:r>
      <w:r w:rsidRPr="00D7167B">
        <w:rPr>
          <w:b/>
          <w:bCs/>
          <w:sz w:val="24"/>
        </w:rPr>
        <w:t>FILOMENA M. CANTORIA</w:t>
      </w:r>
    </w:p>
    <w:p w:rsidR="009B170D" w:rsidRPr="00D7167B" w:rsidRDefault="009B170D" w:rsidP="009B170D">
      <w:pPr>
        <w:spacing w:line="240" w:lineRule="auto"/>
        <w:jc w:val="both"/>
        <w:rPr>
          <w:bCs/>
          <w:sz w:val="24"/>
        </w:rPr>
      </w:pPr>
      <w:r w:rsidRPr="00D7167B">
        <w:rPr>
          <w:bCs/>
          <w:sz w:val="24"/>
        </w:rPr>
        <w:t>Commissioner</w:t>
      </w:r>
      <w:r w:rsidRPr="00D7167B">
        <w:rPr>
          <w:bCs/>
          <w:sz w:val="24"/>
        </w:rPr>
        <w:tab/>
      </w:r>
      <w:r w:rsidRPr="00D7167B">
        <w:rPr>
          <w:bCs/>
          <w:sz w:val="24"/>
        </w:rPr>
        <w:tab/>
      </w:r>
      <w:r w:rsidRPr="00D7167B">
        <w:rPr>
          <w:bCs/>
          <w:sz w:val="24"/>
        </w:rPr>
        <w:tab/>
      </w:r>
      <w:r w:rsidRPr="00D7167B">
        <w:rPr>
          <w:bCs/>
          <w:sz w:val="24"/>
        </w:rPr>
        <w:tab/>
      </w:r>
      <w:r w:rsidRPr="00D7167B">
        <w:rPr>
          <w:bCs/>
          <w:sz w:val="24"/>
        </w:rPr>
        <w:tab/>
      </w:r>
      <w:r w:rsidRPr="00D7167B">
        <w:rPr>
          <w:bCs/>
          <w:sz w:val="24"/>
        </w:rPr>
        <w:tab/>
        <w:t>Commissioner</w:t>
      </w:r>
    </w:p>
    <w:p w:rsidR="009B170D" w:rsidRPr="00D7167B" w:rsidRDefault="009B170D" w:rsidP="009B170D">
      <w:pPr>
        <w:spacing w:line="240" w:lineRule="auto"/>
        <w:jc w:val="both"/>
        <w:rPr>
          <w:bCs/>
          <w:sz w:val="24"/>
          <w:szCs w:val="24"/>
        </w:rPr>
      </w:pPr>
    </w:p>
    <w:p w:rsidR="009B170D" w:rsidRDefault="009B170D" w:rsidP="009B170D">
      <w:pPr>
        <w:spacing w:line="240" w:lineRule="auto"/>
        <w:jc w:val="both"/>
        <w:rPr>
          <w:sz w:val="24"/>
          <w:szCs w:val="24"/>
        </w:rPr>
      </w:pPr>
    </w:p>
    <w:p w:rsidR="009B170D" w:rsidRDefault="009B170D" w:rsidP="009B170D">
      <w:pPr>
        <w:spacing w:line="240" w:lineRule="auto"/>
        <w:jc w:val="both"/>
        <w:rPr>
          <w:sz w:val="24"/>
          <w:szCs w:val="24"/>
        </w:rPr>
      </w:pPr>
    </w:p>
    <w:p w:rsidR="009B170D" w:rsidRPr="00D7167B" w:rsidRDefault="009B170D" w:rsidP="009B170D">
      <w:pPr>
        <w:spacing w:line="240" w:lineRule="auto"/>
        <w:jc w:val="both"/>
        <w:rPr>
          <w:sz w:val="24"/>
          <w:szCs w:val="24"/>
        </w:rPr>
      </w:pPr>
    </w:p>
    <w:p w:rsidR="009B170D" w:rsidRPr="00D7167B" w:rsidRDefault="009B170D" w:rsidP="009B170D">
      <w:pPr>
        <w:spacing w:line="240" w:lineRule="auto"/>
        <w:jc w:val="both"/>
        <w:rPr>
          <w:bCs/>
          <w:sz w:val="24"/>
          <w:u w:val="single"/>
        </w:rPr>
      </w:pP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rPr>
        <w:tab/>
      </w:r>
      <w:r w:rsidRPr="00D7167B">
        <w:rPr>
          <w:bCs/>
          <w:sz w:val="24"/>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p>
    <w:p w:rsidR="009B170D" w:rsidRPr="00D7167B" w:rsidRDefault="009B170D" w:rsidP="009B170D">
      <w:pPr>
        <w:spacing w:line="240" w:lineRule="auto"/>
        <w:jc w:val="both"/>
        <w:rPr>
          <w:b/>
          <w:bCs/>
          <w:sz w:val="24"/>
        </w:rPr>
      </w:pPr>
      <w:r w:rsidRPr="00D7167B">
        <w:rPr>
          <w:b/>
          <w:bCs/>
          <w:sz w:val="24"/>
        </w:rPr>
        <w:t>MICHAEL A. PANGELINAN</w:t>
      </w:r>
      <w:r w:rsidRPr="00D7167B">
        <w:rPr>
          <w:b/>
          <w:bCs/>
          <w:sz w:val="24"/>
        </w:rPr>
        <w:tab/>
      </w:r>
      <w:r w:rsidRPr="00D7167B">
        <w:rPr>
          <w:b/>
          <w:bCs/>
          <w:sz w:val="24"/>
        </w:rPr>
        <w:tab/>
      </w:r>
      <w:r w:rsidRPr="00D7167B">
        <w:rPr>
          <w:b/>
          <w:bCs/>
          <w:sz w:val="24"/>
        </w:rPr>
        <w:tab/>
        <w:t>PETER MONTINOLA</w:t>
      </w:r>
    </w:p>
    <w:p w:rsidR="009B170D" w:rsidRPr="00D7167B" w:rsidRDefault="009B170D" w:rsidP="009B170D">
      <w:pPr>
        <w:spacing w:line="240" w:lineRule="auto"/>
        <w:jc w:val="both"/>
        <w:rPr>
          <w:bCs/>
          <w:sz w:val="24"/>
        </w:rPr>
      </w:pPr>
      <w:r w:rsidRPr="00D7167B">
        <w:rPr>
          <w:bCs/>
          <w:sz w:val="24"/>
        </w:rPr>
        <w:t>Commissioner</w:t>
      </w:r>
      <w:r w:rsidRPr="00D7167B">
        <w:rPr>
          <w:bCs/>
          <w:sz w:val="24"/>
        </w:rPr>
        <w:tab/>
      </w:r>
      <w:r w:rsidRPr="00D7167B">
        <w:rPr>
          <w:bCs/>
          <w:sz w:val="24"/>
        </w:rPr>
        <w:tab/>
      </w:r>
      <w:r w:rsidRPr="00D7167B">
        <w:rPr>
          <w:bCs/>
          <w:sz w:val="24"/>
        </w:rPr>
        <w:tab/>
      </w:r>
      <w:r w:rsidRPr="00D7167B">
        <w:rPr>
          <w:bCs/>
          <w:sz w:val="24"/>
        </w:rPr>
        <w:tab/>
      </w:r>
      <w:r w:rsidRPr="00D7167B">
        <w:rPr>
          <w:bCs/>
          <w:sz w:val="24"/>
        </w:rPr>
        <w:tab/>
      </w:r>
      <w:r w:rsidRPr="00D7167B">
        <w:rPr>
          <w:bCs/>
          <w:sz w:val="24"/>
        </w:rPr>
        <w:tab/>
        <w:t>Commissioner</w:t>
      </w:r>
    </w:p>
    <w:p w:rsidR="009B170D" w:rsidRPr="00D7167B" w:rsidRDefault="009B170D" w:rsidP="009B170D">
      <w:pPr>
        <w:spacing w:line="240" w:lineRule="auto"/>
        <w:jc w:val="both"/>
        <w:rPr>
          <w:bCs/>
          <w:sz w:val="24"/>
          <w:szCs w:val="24"/>
        </w:rPr>
      </w:pPr>
    </w:p>
    <w:p w:rsidR="009B170D" w:rsidRDefault="009B170D" w:rsidP="009B170D">
      <w:pPr>
        <w:spacing w:line="240" w:lineRule="auto"/>
        <w:jc w:val="both"/>
        <w:rPr>
          <w:bCs/>
          <w:sz w:val="24"/>
          <w:szCs w:val="24"/>
        </w:rPr>
      </w:pPr>
    </w:p>
    <w:p w:rsidR="009B170D" w:rsidRDefault="009B170D" w:rsidP="009B170D">
      <w:pPr>
        <w:spacing w:line="240" w:lineRule="auto"/>
        <w:jc w:val="both"/>
        <w:rPr>
          <w:bCs/>
          <w:sz w:val="24"/>
          <w:szCs w:val="24"/>
        </w:rPr>
      </w:pPr>
    </w:p>
    <w:p w:rsidR="009B170D" w:rsidRPr="00D7167B" w:rsidRDefault="009B170D" w:rsidP="009B170D">
      <w:pPr>
        <w:spacing w:line="240" w:lineRule="auto"/>
        <w:jc w:val="both"/>
        <w:rPr>
          <w:bCs/>
          <w:sz w:val="24"/>
          <w:szCs w:val="24"/>
        </w:rPr>
      </w:pPr>
    </w:p>
    <w:p w:rsidR="009B170D" w:rsidRPr="00D7167B" w:rsidRDefault="009B170D" w:rsidP="009B170D">
      <w:pPr>
        <w:spacing w:line="240" w:lineRule="auto"/>
        <w:jc w:val="both"/>
        <w:rPr>
          <w:bCs/>
          <w:sz w:val="24"/>
          <w:u w:val="single"/>
        </w:rPr>
      </w:pPr>
      <w:r w:rsidRPr="00D7167B">
        <w:rPr>
          <w:bCs/>
          <w:sz w:val="24"/>
          <w:u w:val="single"/>
        </w:rPr>
        <w:tab/>
      </w:r>
      <w:r w:rsidRPr="00D7167B">
        <w:rPr>
          <w:bCs/>
          <w:sz w:val="24"/>
          <w:u w:val="single"/>
        </w:rPr>
        <w:tab/>
      </w:r>
      <w:r w:rsidRPr="00D7167B">
        <w:rPr>
          <w:bCs/>
          <w:sz w:val="24"/>
          <w:u w:val="single"/>
        </w:rPr>
        <w:tab/>
      </w:r>
      <w:r w:rsidRPr="00D7167B">
        <w:rPr>
          <w:bCs/>
          <w:sz w:val="24"/>
          <w:u w:val="single"/>
        </w:rPr>
        <w:tab/>
      </w:r>
      <w:r w:rsidRPr="00D7167B">
        <w:rPr>
          <w:bCs/>
          <w:sz w:val="24"/>
          <w:u w:val="single"/>
        </w:rPr>
        <w:tab/>
      </w:r>
    </w:p>
    <w:p w:rsidR="009B170D" w:rsidRPr="00D7167B" w:rsidRDefault="009B170D" w:rsidP="009B170D">
      <w:pPr>
        <w:spacing w:line="240" w:lineRule="auto"/>
        <w:jc w:val="both"/>
        <w:rPr>
          <w:b/>
          <w:bCs/>
          <w:sz w:val="24"/>
        </w:rPr>
      </w:pPr>
      <w:r w:rsidRPr="00D7167B">
        <w:rPr>
          <w:b/>
          <w:bCs/>
          <w:sz w:val="24"/>
        </w:rPr>
        <w:t>ANDREW L. NIVEN</w:t>
      </w:r>
    </w:p>
    <w:p w:rsidR="009B170D" w:rsidRDefault="009B170D" w:rsidP="009B170D">
      <w:pPr>
        <w:rPr>
          <w:bCs/>
          <w:sz w:val="24"/>
        </w:rPr>
      </w:pPr>
      <w:r w:rsidRPr="00D7167B">
        <w:rPr>
          <w:bCs/>
          <w:sz w:val="24"/>
        </w:rPr>
        <w:t>Commissioner</w:t>
      </w:r>
    </w:p>
    <w:p w:rsidR="0041777A" w:rsidRDefault="0041777A" w:rsidP="00743485">
      <w:pPr>
        <w:spacing w:line="240" w:lineRule="auto"/>
        <w:jc w:val="both"/>
        <w:rPr>
          <w:sz w:val="24"/>
          <w:szCs w:val="24"/>
        </w:rPr>
      </w:pPr>
    </w:p>
    <w:p w:rsidR="009B170D" w:rsidRDefault="009B170D" w:rsidP="00743485">
      <w:pPr>
        <w:spacing w:line="240" w:lineRule="auto"/>
        <w:jc w:val="both"/>
        <w:rPr>
          <w:sz w:val="24"/>
          <w:szCs w:val="24"/>
        </w:rPr>
      </w:pPr>
    </w:p>
    <w:p w:rsidR="009B170D" w:rsidRDefault="009B170D" w:rsidP="00743485">
      <w:pPr>
        <w:spacing w:line="240" w:lineRule="auto"/>
        <w:jc w:val="both"/>
        <w:rPr>
          <w:sz w:val="24"/>
          <w:szCs w:val="24"/>
        </w:rPr>
      </w:pPr>
    </w:p>
    <w:p w:rsidR="009B170D" w:rsidRDefault="009B170D" w:rsidP="00743485">
      <w:pPr>
        <w:spacing w:line="240" w:lineRule="auto"/>
        <w:jc w:val="both"/>
        <w:rPr>
          <w:sz w:val="24"/>
          <w:szCs w:val="24"/>
        </w:rPr>
      </w:pPr>
    </w:p>
    <w:p w:rsidR="009B170D" w:rsidRDefault="009B170D" w:rsidP="00743485">
      <w:pPr>
        <w:spacing w:line="240" w:lineRule="auto"/>
        <w:jc w:val="both"/>
        <w:rPr>
          <w:sz w:val="24"/>
          <w:szCs w:val="24"/>
        </w:rPr>
      </w:pPr>
    </w:p>
    <w:p w:rsidR="00504C46" w:rsidRPr="00381837" w:rsidRDefault="00F66B85" w:rsidP="009B170D">
      <w:pPr>
        <w:spacing w:line="240" w:lineRule="auto"/>
        <w:jc w:val="right"/>
        <w:rPr>
          <w:sz w:val="18"/>
        </w:rPr>
      </w:pPr>
      <w:fldSimple w:instr=" FILENAME   \* MERGEFORMAT ">
        <w:r w:rsidR="009B170D" w:rsidRPr="009B170D">
          <w:rPr>
            <w:noProof/>
            <w:sz w:val="18"/>
          </w:rPr>
          <w:t>P173005.JRA</w:t>
        </w:r>
      </w:fldSimple>
    </w:p>
    <w:sectPr w:rsidR="00504C46" w:rsidRPr="00381837" w:rsidSect="00D71AB0">
      <w:headerReference w:type="default" r:id="rId8"/>
      <w:footerReference w:type="even" r:id="rId9"/>
      <w:footerReference w:type="default" r:id="rId10"/>
      <w:footerReference w:type="first" r:id="rId11"/>
      <w:pgSz w:w="12240" w:h="15840" w:code="1"/>
      <w:pgMar w:top="1728" w:right="1728" w:bottom="1440" w:left="1728" w:header="720" w:footer="115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7F" w:rsidRDefault="0097347F">
      <w:r>
        <w:separator/>
      </w:r>
    </w:p>
  </w:endnote>
  <w:endnote w:type="continuationSeparator" w:id="0">
    <w:p w:rsidR="0097347F" w:rsidRDefault="00973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7F" w:rsidRDefault="0097347F" w:rsidP="005E0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47F" w:rsidRDefault="00973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7F" w:rsidRDefault="0097347F">
    <w:pPr>
      <w:pStyle w:val="Footer"/>
      <w:jc w:val="center"/>
    </w:pPr>
    <w:r w:rsidRPr="00014E91">
      <w:rPr>
        <w:sz w:val="24"/>
      </w:rPr>
      <w:t xml:space="preserve">Page </w:t>
    </w:r>
    <w:r w:rsidRPr="00014E91">
      <w:rPr>
        <w:sz w:val="24"/>
        <w:szCs w:val="24"/>
      </w:rPr>
      <w:fldChar w:fldCharType="begin"/>
    </w:r>
    <w:r w:rsidRPr="00014E91">
      <w:rPr>
        <w:sz w:val="24"/>
      </w:rPr>
      <w:instrText xml:space="preserve"> PAGE </w:instrText>
    </w:r>
    <w:r w:rsidRPr="00014E91">
      <w:rPr>
        <w:sz w:val="24"/>
        <w:szCs w:val="24"/>
      </w:rPr>
      <w:fldChar w:fldCharType="separate"/>
    </w:r>
    <w:r w:rsidR="00A20151">
      <w:rPr>
        <w:noProof/>
        <w:sz w:val="24"/>
      </w:rPr>
      <w:t>7</w:t>
    </w:r>
    <w:r w:rsidRPr="00014E91">
      <w:rPr>
        <w:sz w:val="24"/>
        <w:szCs w:val="24"/>
      </w:rPr>
      <w:fldChar w:fldCharType="end"/>
    </w:r>
    <w:r w:rsidRPr="00014E91">
      <w:rPr>
        <w:sz w:val="24"/>
      </w:rPr>
      <w:t xml:space="preserve"> of </w:t>
    </w:r>
    <w:r w:rsidRPr="00014E91">
      <w:rPr>
        <w:sz w:val="24"/>
        <w:szCs w:val="24"/>
      </w:rPr>
      <w:fldChar w:fldCharType="begin"/>
    </w:r>
    <w:r w:rsidRPr="00014E91">
      <w:rPr>
        <w:sz w:val="24"/>
      </w:rPr>
      <w:instrText xml:space="preserve"> NUMPAGES  </w:instrText>
    </w:r>
    <w:r w:rsidRPr="00014E91">
      <w:rPr>
        <w:sz w:val="24"/>
        <w:szCs w:val="24"/>
      </w:rPr>
      <w:fldChar w:fldCharType="separate"/>
    </w:r>
    <w:r w:rsidR="00A20151">
      <w:rPr>
        <w:noProof/>
        <w:sz w:val="24"/>
      </w:rPr>
      <w:t>7</w:t>
    </w:r>
    <w:r w:rsidRPr="00014E91">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7F" w:rsidRPr="00FE7C6A" w:rsidRDefault="0097347F">
    <w:pPr>
      <w:pStyle w:val="Footer"/>
      <w:jc w:val="center"/>
      <w:rPr>
        <w:sz w:val="24"/>
      </w:rPr>
    </w:pPr>
    <w:r w:rsidRPr="00FE7C6A">
      <w:rPr>
        <w:sz w:val="24"/>
      </w:rPr>
      <w:t xml:space="preserve">Page </w:t>
    </w:r>
    <w:r w:rsidRPr="00FE7C6A">
      <w:rPr>
        <w:sz w:val="24"/>
        <w:szCs w:val="24"/>
      </w:rPr>
      <w:fldChar w:fldCharType="begin"/>
    </w:r>
    <w:r w:rsidRPr="00FE7C6A">
      <w:rPr>
        <w:sz w:val="24"/>
      </w:rPr>
      <w:instrText xml:space="preserve"> PAGE </w:instrText>
    </w:r>
    <w:r w:rsidRPr="00FE7C6A">
      <w:rPr>
        <w:sz w:val="24"/>
        <w:szCs w:val="24"/>
      </w:rPr>
      <w:fldChar w:fldCharType="separate"/>
    </w:r>
    <w:r w:rsidR="00A20151">
      <w:rPr>
        <w:noProof/>
        <w:sz w:val="24"/>
      </w:rPr>
      <w:t>1</w:t>
    </w:r>
    <w:r w:rsidRPr="00FE7C6A">
      <w:rPr>
        <w:sz w:val="24"/>
        <w:szCs w:val="24"/>
      </w:rPr>
      <w:fldChar w:fldCharType="end"/>
    </w:r>
    <w:r w:rsidRPr="00FE7C6A">
      <w:rPr>
        <w:sz w:val="24"/>
      </w:rPr>
      <w:t xml:space="preserve"> of </w:t>
    </w:r>
    <w:r w:rsidRPr="00FE7C6A">
      <w:rPr>
        <w:sz w:val="24"/>
        <w:szCs w:val="24"/>
      </w:rPr>
      <w:fldChar w:fldCharType="begin"/>
    </w:r>
    <w:r w:rsidRPr="00FE7C6A">
      <w:rPr>
        <w:sz w:val="24"/>
      </w:rPr>
      <w:instrText xml:space="preserve"> NUMPAGES  </w:instrText>
    </w:r>
    <w:r w:rsidRPr="00FE7C6A">
      <w:rPr>
        <w:sz w:val="24"/>
        <w:szCs w:val="24"/>
      </w:rPr>
      <w:fldChar w:fldCharType="separate"/>
    </w:r>
    <w:r w:rsidR="00A20151">
      <w:rPr>
        <w:noProof/>
        <w:sz w:val="24"/>
      </w:rPr>
      <w:t>1</w:t>
    </w:r>
    <w:r w:rsidRPr="00FE7C6A">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7F" w:rsidRDefault="0097347F" w:rsidP="00E01A64">
      <w:pPr>
        <w:spacing w:line="240" w:lineRule="auto"/>
      </w:pPr>
      <w:r>
        <w:separator/>
      </w:r>
    </w:p>
  </w:footnote>
  <w:footnote w:type="continuationSeparator" w:id="0">
    <w:p w:rsidR="0097347F" w:rsidRDefault="0097347F">
      <w:r>
        <w:continuationSeparator/>
      </w:r>
    </w:p>
  </w:footnote>
  <w:footnote w:id="1">
    <w:p w:rsidR="0097347F" w:rsidRPr="00E14A88" w:rsidRDefault="0097347F" w:rsidP="00E14A88">
      <w:pPr>
        <w:pStyle w:val="FootnoteText"/>
        <w:tabs>
          <w:tab w:val="left" w:pos="360"/>
          <w:tab w:val="left" w:pos="720"/>
        </w:tabs>
        <w:spacing w:after="120" w:line="240" w:lineRule="auto"/>
        <w:ind w:firstLine="360"/>
        <w:jc w:val="both"/>
        <w:rPr>
          <w:sz w:val="22"/>
          <w:szCs w:val="22"/>
        </w:rPr>
      </w:pPr>
      <w:r w:rsidRPr="00E14A88">
        <w:rPr>
          <w:rStyle w:val="FootnoteReference"/>
          <w:sz w:val="22"/>
          <w:szCs w:val="22"/>
        </w:rPr>
        <w:footnoteRef/>
      </w:r>
      <w:r w:rsidRPr="00E14A88">
        <w:rPr>
          <w:sz w:val="22"/>
          <w:szCs w:val="22"/>
        </w:rPr>
        <w:t xml:space="preserve"> </w:t>
      </w:r>
      <w:r w:rsidRPr="00E14A88">
        <w:rPr>
          <w:sz w:val="22"/>
          <w:szCs w:val="22"/>
        </w:rPr>
        <w:tab/>
        <w:t xml:space="preserve">Petition to </w:t>
      </w:r>
      <w:r w:rsidRPr="0041777A">
        <w:rPr>
          <w:sz w:val="22"/>
          <w:szCs w:val="22"/>
        </w:rPr>
        <w:t>Reallocate $29.6 Million in 2010, 2013 and 2016 Bond Proceeds to Meet the Requirements of the Order of the United States District Court Relative to Incomplete Stipulated Order Projects</w:t>
      </w:r>
      <w:r w:rsidRPr="00E14A88">
        <w:rPr>
          <w:sz w:val="22"/>
          <w:szCs w:val="22"/>
        </w:rPr>
        <w:t xml:space="preserve"> (“Petition”), p. 1 (</w:t>
      </w:r>
      <w:r>
        <w:rPr>
          <w:sz w:val="22"/>
          <w:szCs w:val="22"/>
        </w:rPr>
        <w:t>Feb. 13, 2017</w:t>
      </w:r>
      <w:r w:rsidRPr="00E14A88">
        <w:rPr>
          <w:sz w:val="22"/>
          <w:szCs w:val="22"/>
        </w:rPr>
        <w:t>).</w:t>
      </w:r>
    </w:p>
  </w:footnote>
  <w:footnote w:id="2">
    <w:p w:rsidR="0097347F" w:rsidRPr="00E14A88" w:rsidRDefault="0097347F" w:rsidP="00E14A88">
      <w:pPr>
        <w:pStyle w:val="FootnoteText"/>
        <w:tabs>
          <w:tab w:val="left" w:pos="360"/>
          <w:tab w:val="left" w:pos="720"/>
        </w:tabs>
        <w:spacing w:after="120" w:line="240" w:lineRule="auto"/>
        <w:ind w:firstLine="360"/>
        <w:jc w:val="both"/>
        <w:rPr>
          <w:sz w:val="22"/>
          <w:szCs w:val="22"/>
        </w:rPr>
      </w:pPr>
      <w:r w:rsidRPr="00E14A88">
        <w:rPr>
          <w:rStyle w:val="FootnoteReference"/>
          <w:sz w:val="22"/>
          <w:szCs w:val="22"/>
        </w:rPr>
        <w:footnoteRef/>
      </w:r>
      <w:r w:rsidRPr="00E14A88">
        <w:rPr>
          <w:sz w:val="22"/>
          <w:szCs w:val="22"/>
        </w:rPr>
        <w:t xml:space="preserve"> </w:t>
      </w:r>
      <w:r w:rsidRPr="00E14A88">
        <w:rPr>
          <w:sz w:val="22"/>
          <w:szCs w:val="22"/>
        </w:rPr>
        <w:tab/>
        <w:t>Petition, p. 1.</w:t>
      </w:r>
    </w:p>
  </w:footnote>
  <w:footnote w:id="3">
    <w:p w:rsidR="0097347F" w:rsidRPr="00E14A88" w:rsidRDefault="0097347F" w:rsidP="00E14A88">
      <w:pPr>
        <w:pStyle w:val="FootnoteText"/>
        <w:tabs>
          <w:tab w:val="left" w:pos="360"/>
          <w:tab w:val="left" w:pos="720"/>
        </w:tabs>
        <w:spacing w:after="120" w:line="240" w:lineRule="auto"/>
        <w:ind w:firstLine="360"/>
        <w:jc w:val="both"/>
        <w:rPr>
          <w:sz w:val="22"/>
          <w:szCs w:val="22"/>
        </w:rPr>
      </w:pPr>
      <w:r w:rsidRPr="00E14A88">
        <w:rPr>
          <w:rStyle w:val="FootnoteReference"/>
          <w:sz w:val="22"/>
          <w:szCs w:val="22"/>
        </w:rPr>
        <w:footnoteRef/>
      </w:r>
      <w:r w:rsidRPr="00E14A88">
        <w:rPr>
          <w:sz w:val="22"/>
          <w:szCs w:val="22"/>
        </w:rPr>
        <w:t xml:space="preserve"> </w:t>
      </w:r>
      <w:r w:rsidRPr="00E14A88">
        <w:rPr>
          <w:sz w:val="22"/>
          <w:szCs w:val="22"/>
        </w:rPr>
        <w:tab/>
        <w:t xml:space="preserve">Petition, p. 2.  </w:t>
      </w:r>
    </w:p>
  </w:footnote>
  <w:footnote w:id="4">
    <w:p w:rsidR="0097347F" w:rsidRPr="00E14A88" w:rsidRDefault="0097347F" w:rsidP="00E14A88">
      <w:pPr>
        <w:pStyle w:val="FootnoteText"/>
        <w:tabs>
          <w:tab w:val="left" w:pos="360"/>
          <w:tab w:val="left" w:pos="720"/>
        </w:tabs>
        <w:spacing w:after="120" w:line="240" w:lineRule="auto"/>
        <w:ind w:firstLine="360"/>
        <w:jc w:val="both"/>
        <w:rPr>
          <w:sz w:val="22"/>
          <w:szCs w:val="22"/>
        </w:rPr>
      </w:pPr>
      <w:r w:rsidRPr="00E14A88">
        <w:rPr>
          <w:rStyle w:val="FootnoteReference"/>
          <w:sz w:val="22"/>
          <w:szCs w:val="22"/>
        </w:rPr>
        <w:footnoteRef/>
      </w:r>
      <w:r w:rsidRPr="00E14A88">
        <w:rPr>
          <w:sz w:val="22"/>
          <w:szCs w:val="22"/>
        </w:rPr>
        <w:t xml:space="preserve"> </w:t>
      </w:r>
      <w:r w:rsidRPr="00E14A88">
        <w:rPr>
          <w:sz w:val="22"/>
          <w:szCs w:val="22"/>
        </w:rPr>
        <w:tab/>
        <w:t>Petition, p. 4.</w:t>
      </w:r>
    </w:p>
  </w:footnote>
  <w:footnote w:id="5">
    <w:p w:rsidR="0097347F" w:rsidRPr="00E14A88" w:rsidRDefault="0097347F" w:rsidP="00E14A88">
      <w:pPr>
        <w:pStyle w:val="FootnoteText"/>
        <w:tabs>
          <w:tab w:val="left" w:pos="360"/>
          <w:tab w:val="left" w:pos="720"/>
        </w:tabs>
        <w:spacing w:after="120" w:line="240" w:lineRule="auto"/>
        <w:ind w:firstLine="360"/>
        <w:jc w:val="both"/>
        <w:rPr>
          <w:sz w:val="22"/>
          <w:szCs w:val="22"/>
        </w:rPr>
      </w:pPr>
      <w:r w:rsidRPr="00E14A88">
        <w:rPr>
          <w:rStyle w:val="FootnoteReference"/>
          <w:sz w:val="22"/>
          <w:szCs w:val="22"/>
        </w:rPr>
        <w:footnoteRef/>
      </w:r>
      <w:r w:rsidRPr="00E14A88">
        <w:rPr>
          <w:sz w:val="22"/>
          <w:szCs w:val="22"/>
        </w:rPr>
        <w:t xml:space="preserve"> </w:t>
      </w:r>
      <w:r w:rsidRPr="00E14A88">
        <w:rPr>
          <w:sz w:val="22"/>
          <w:szCs w:val="22"/>
        </w:rPr>
        <w:tab/>
        <w:t>Petition, p</w:t>
      </w:r>
      <w:r>
        <w:rPr>
          <w:sz w:val="22"/>
          <w:szCs w:val="22"/>
        </w:rPr>
        <w:t>.</w:t>
      </w:r>
      <w:r w:rsidRPr="00E14A88">
        <w:rPr>
          <w:sz w:val="22"/>
          <w:szCs w:val="22"/>
        </w:rPr>
        <w:t xml:space="preserve"> 1.</w:t>
      </w:r>
    </w:p>
  </w:footnote>
  <w:footnote w:id="6">
    <w:p w:rsidR="0097347F" w:rsidRPr="00E14A88" w:rsidRDefault="0097347F" w:rsidP="00E14A88">
      <w:pPr>
        <w:pStyle w:val="FootnoteText"/>
        <w:tabs>
          <w:tab w:val="left" w:pos="360"/>
          <w:tab w:val="left" w:pos="720"/>
        </w:tabs>
        <w:spacing w:after="120" w:line="240" w:lineRule="auto"/>
        <w:ind w:firstLine="360"/>
        <w:jc w:val="both"/>
        <w:rPr>
          <w:sz w:val="22"/>
          <w:szCs w:val="22"/>
        </w:rPr>
      </w:pPr>
      <w:r w:rsidRPr="00E14A88">
        <w:rPr>
          <w:rStyle w:val="FootnoteReference"/>
          <w:sz w:val="22"/>
          <w:szCs w:val="22"/>
        </w:rPr>
        <w:footnoteRef/>
      </w:r>
      <w:r w:rsidRPr="00E14A88">
        <w:rPr>
          <w:sz w:val="22"/>
          <w:szCs w:val="22"/>
        </w:rPr>
        <w:t xml:space="preserve"> </w:t>
      </w:r>
      <w:r w:rsidRPr="00E14A88">
        <w:rPr>
          <w:sz w:val="22"/>
          <w:szCs w:val="22"/>
        </w:rPr>
        <w:tab/>
        <w:t>Petition, pp. 1-2.</w:t>
      </w:r>
    </w:p>
  </w:footnote>
  <w:footnote w:id="7">
    <w:p w:rsidR="0097347F" w:rsidRPr="00E14A88" w:rsidRDefault="0097347F" w:rsidP="00825D1D">
      <w:pPr>
        <w:pStyle w:val="FootnoteText"/>
        <w:tabs>
          <w:tab w:val="left" w:pos="360"/>
          <w:tab w:val="left" w:pos="720"/>
        </w:tabs>
        <w:spacing w:after="120" w:line="240" w:lineRule="auto"/>
        <w:ind w:firstLine="360"/>
        <w:jc w:val="both"/>
        <w:rPr>
          <w:sz w:val="22"/>
          <w:szCs w:val="22"/>
        </w:rPr>
      </w:pPr>
      <w:r w:rsidRPr="00E14A88">
        <w:rPr>
          <w:rStyle w:val="FootnoteReference"/>
          <w:sz w:val="22"/>
          <w:szCs w:val="22"/>
        </w:rPr>
        <w:footnoteRef/>
      </w:r>
      <w:r w:rsidRPr="00E14A88">
        <w:rPr>
          <w:sz w:val="22"/>
          <w:szCs w:val="22"/>
        </w:rPr>
        <w:t xml:space="preserve"> </w:t>
      </w:r>
      <w:r w:rsidRPr="00E14A88">
        <w:rPr>
          <w:sz w:val="22"/>
          <w:szCs w:val="22"/>
        </w:rPr>
        <w:tab/>
      </w:r>
      <w:r w:rsidRPr="00E14A88">
        <w:rPr>
          <w:rFonts w:eastAsia="Calibri"/>
          <w:sz w:val="22"/>
          <w:szCs w:val="22"/>
        </w:rPr>
        <w:t xml:space="preserve">Petition, p. 3.  </w:t>
      </w:r>
    </w:p>
  </w:footnote>
  <w:footnote w:id="8">
    <w:p w:rsidR="0097347F" w:rsidRPr="00D71AB0" w:rsidRDefault="0097347F" w:rsidP="00D71AB0">
      <w:pPr>
        <w:pStyle w:val="FootnoteText"/>
        <w:tabs>
          <w:tab w:val="left" w:pos="720"/>
        </w:tabs>
        <w:spacing w:after="120" w:line="240" w:lineRule="auto"/>
        <w:ind w:firstLine="360"/>
        <w:jc w:val="both"/>
        <w:rPr>
          <w:sz w:val="22"/>
        </w:rPr>
      </w:pPr>
      <w:r w:rsidRPr="00D71AB0">
        <w:rPr>
          <w:rStyle w:val="FootnoteReference"/>
          <w:sz w:val="22"/>
        </w:rPr>
        <w:footnoteRef/>
      </w:r>
      <w:r w:rsidRPr="00D71AB0">
        <w:rPr>
          <w:sz w:val="22"/>
        </w:rPr>
        <w:t xml:space="preserve"> </w:t>
      </w:r>
      <w:r w:rsidRPr="00D71AB0">
        <w:rPr>
          <w:sz w:val="22"/>
        </w:rPr>
        <w:tab/>
      </w:r>
      <w:r w:rsidRPr="00D71AB0">
        <w:rPr>
          <w:rFonts w:eastAsia="Calibri"/>
          <w:sz w:val="22"/>
        </w:rPr>
        <w:t xml:space="preserve">Petition, p. 2.  </w:t>
      </w:r>
    </w:p>
  </w:footnote>
  <w:footnote w:id="9">
    <w:p w:rsidR="0097347F" w:rsidRPr="00D71AB0" w:rsidRDefault="0097347F" w:rsidP="00D71AB0">
      <w:pPr>
        <w:pStyle w:val="FootnoteText"/>
        <w:tabs>
          <w:tab w:val="left" w:pos="720"/>
        </w:tabs>
        <w:spacing w:after="120" w:line="240" w:lineRule="auto"/>
        <w:ind w:firstLine="360"/>
        <w:jc w:val="both"/>
        <w:rPr>
          <w:sz w:val="22"/>
        </w:rPr>
      </w:pPr>
      <w:r w:rsidRPr="00D71AB0">
        <w:rPr>
          <w:rStyle w:val="FootnoteReference"/>
          <w:sz w:val="22"/>
        </w:rPr>
        <w:footnoteRef/>
      </w:r>
      <w:r w:rsidRPr="00D71AB0">
        <w:rPr>
          <w:sz w:val="22"/>
        </w:rPr>
        <w:t xml:space="preserve"> </w:t>
      </w:r>
      <w:r w:rsidRPr="00D71AB0">
        <w:rPr>
          <w:sz w:val="22"/>
        </w:rPr>
        <w:tab/>
      </w:r>
      <w:r w:rsidRPr="00D71AB0">
        <w:rPr>
          <w:rFonts w:eastAsia="Calibri"/>
          <w:sz w:val="22"/>
        </w:rPr>
        <w:t xml:space="preserve">Petition, p. 2.  </w:t>
      </w:r>
    </w:p>
  </w:footnote>
  <w:footnote w:id="10">
    <w:p w:rsidR="0097347F" w:rsidRDefault="0097347F" w:rsidP="00D71AB0">
      <w:pPr>
        <w:pStyle w:val="FootnoteText"/>
        <w:tabs>
          <w:tab w:val="left" w:pos="720"/>
        </w:tabs>
        <w:spacing w:after="120" w:line="240" w:lineRule="auto"/>
        <w:ind w:firstLine="360"/>
        <w:jc w:val="both"/>
      </w:pPr>
      <w:r w:rsidRPr="00D71AB0">
        <w:rPr>
          <w:rStyle w:val="FootnoteReference"/>
          <w:sz w:val="22"/>
        </w:rPr>
        <w:footnoteRef/>
      </w:r>
      <w:r w:rsidRPr="00D71AB0">
        <w:rPr>
          <w:sz w:val="22"/>
        </w:rPr>
        <w:t xml:space="preserve"> </w:t>
      </w:r>
      <w:r w:rsidRPr="00D71AB0">
        <w:rPr>
          <w:sz w:val="22"/>
        </w:rPr>
        <w:tab/>
        <w:t>Final Guam Water and Wastewater Assessment Report in Support of the Economic Adjustment Committee Implementation Plan, Department of the Navy, p. 3-24 (Feb.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7F" w:rsidRPr="00C2362E" w:rsidRDefault="0097347F" w:rsidP="005E0EB6">
    <w:pPr>
      <w:pStyle w:val="Header"/>
      <w:spacing w:line="240" w:lineRule="auto"/>
      <w:rPr>
        <w:b/>
      </w:rPr>
    </w:pPr>
    <w:r>
      <w:rPr>
        <w:b/>
        <w:noProof/>
      </w:rPr>
      <w:pict>
        <v:line id="RightBorder" o:spid="_x0000_s2051" style="position:absolute;z-index:251658240;visibility:hidden;mso-position-horizontal-relative:margin;mso-position-vertical-relative:page" from="468pt,0" to="468pt,11in">
          <w10:wrap anchorx="margin" anchory="page"/>
        </v:line>
      </w:pict>
    </w:r>
    <w:r>
      <w:rPr>
        <w:b/>
        <w:noProof/>
      </w:rPr>
      <w:pict>
        <v:line id="LeftBorder2" o:spid="_x0000_s2050" style="position:absolute;z-index:251657216;visibility:hidden;mso-position-horizontal-relative:margin;mso-position-vertical-relative:page" from="-7.2pt,0" to="-7.2pt,11in">
          <w10:wrap anchorx="margin" anchory="page"/>
        </v:line>
      </w:pict>
    </w:r>
    <w:r>
      <w:rPr>
        <w:b/>
        <w:noProof/>
      </w:rPr>
      <w:pict>
        <v:line id="LeftBorder1" o:spid="_x0000_s2049" style="position:absolute;z-index:251656192;visibility:hidden;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443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E7764"/>
    <w:multiLevelType w:val="hybridMultilevel"/>
    <w:tmpl w:val="2814CDF0"/>
    <w:lvl w:ilvl="0" w:tplc="3BFA6E4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DD5DC5"/>
    <w:multiLevelType w:val="hybridMultilevel"/>
    <w:tmpl w:val="EA5A4138"/>
    <w:lvl w:ilvl="0" w:tplc="FD30E2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452B8"/>
    <w:multiLevelType w:val="hybridMultilevel"/>
    <w:tmpl w:val="619401E6"/>
    <w:lvl w:ilvl="0" w:tplc="3BFA6E4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D50A94"/>
    <w:multiLevelType w:val="hybridMultilevel"/>
    <w:tmpl w:val="0D34E54C"/>
    <w:lvl w:ilvl="0" w:tplc="DD62A6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C7BC1"/>
    <w:multiLevelType w:val="hybridMultilevel"/>
    <w:tmpl w:val="2814CDF0"/>
    <w:lvl w:ilvl="0" w:tplc="3BFA6E4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914E5B"/>
    <w:multiLevelType w:val="hybridMultilevel"/>
    <w:tmpl w:val="2A86E26A"/>
    <w:lvl w:ilvl="0" w:tplc="B818DE76">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FE02DDF"/>
    <w:multiLevelType w:val="hybridMultilevel"/>
    <w:tmpl w:val="BE3A4004"/>
    <w:lvl w:ilvl="0" w:tplc="F39E92F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2621F2"/>
    <w:multiLevelType w:val="multilevel"/>
    <w:tmpl w:val="2A86E26A"/>
    <w:lvl w:ilvl="0">
      <w:start w:val="1"/>
      <w:numFmt w:val="decimal"/>
      <w:lvlText w:val="(%1.)"/>
      <w:lvlJc w:val="left"/>
      <w:pPr>
        <w:tabs>
          <w:tab w:val="num" w:pos="1440"/>
        </w:tabs>
        <w:ind w:left="1440" w:hanging="72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7B6C35C9"/>
    <w:multiLevelType w:val="hybridMultilevel"/>
    <w:tmpl w:val="9162EFC8"/>
    <w:lvl w:ilvl="0" w:tplc="C61E143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E864008"/>
    <w:multiLevelType w:val="hybridMultilevel"/>
    <w:tmpl w:val="4A808BD0"/>
    <w:lvl w:ilvl="0" w:tplc="06BE244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0"/>
  </w:num>
  <w:num w:numId="4">
    <w:abstractNumId w:val="9"/>
  </w:num>
  <w:num w:numId="5">
    <w:abstractNumId w:val="7"/>
  </w:num>
  <w:num w:numId="6">
    <w:abstractNumId w:val="4"/>
  </w:num>
  <w:num w:numId="7">
    <w:abstractNumId w:val="0"/>
  </w:num>
  <w:num w:numId="8">
    <w:abstractNumId w:val="5"/>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attachedTemplate r:id="rId1"/>
  <w:stylePaneFormatFilter w:val="3F01"/>
  <w:stylePaneSortMethod w:val="0000"/>
  <w:defaultTabStop w:val="720"/>
  <w:drawingGridHorizontalSpacing w:val="100"/>
  <w:drawingGridVerticalSpacing w:val="187"/>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AttorneyName" w:val="0"/>
    <w:docVar w:name="CaptionBoxStyle" w:val="0"/>
    <w:docVar w:name="CourtAlignment" w:val="1"/>
    <w:docVar w:name="CourtName" w:val="BEFORE THE GUAM PUBLIC UTILITIES COMMISSION"/>
    <w:docVar w:name="FirmInFtr" w:val="0"/>
    <w:docVar w:name="FirmInSigBlkStyle" w:val="0"/>
    <w:docVar w:name="FirstLineNum" w:val="1"/>
    <w:docVar w:name="FirstPleadingLine" w:val="1"/>
    <w:docVar w:name="Font" w:val="Times New Roman"/>
    <w:docVar w:name="IncludeDate" w:val="-1"/>
    <w:docVar w:name="IncludeLineNumbers" w:val="0"/>
    <w:docVar w:name="JudgeName" w:val="0"/>
    <w:docVar w:name="LeftBorderStyle" w:val="0"/>
    <w:docVar w:name="LineNumIncByOne" w:val="-1"/>
    <w:docVar w:name="LineSpacing" w:val="2"/>
    <w:docVar w:name="LinesPerPage" w:val="25"/>
    <w:docVar w:name="PageNumsInFtr" w:val="0"/>
    <w:docVar w:name="RightBorderStyle" w:val="0"/>
    <w:docVar w:name="SigBlkYes" w:val="0"/>
    <w:docVar w:name="SignWith" w:val=" "/>
    <w:docVar w:name="SummaryInFtr" w:val="0"/>
  </w:docVars>
  <w:rsids>
    <w:rsidRoot w:val="00AF4D3C"/>
    <w:rsid w:val="00014E91"/>
    <w:rsid w:val="00017AE2"/>
    <w:rsid w:val="00022B0E"/>
    <w:rsid w:val="000267EF"/>
    <w:rsid w:val="00034C36"/>
    <w:rsid w:val="0003624D"/>
    <w:rsid w:val="00045A5D"/>
    <w:rsid w:val="00051D90"/>
    <w:rsid w:val="0006032C"/>
    <w:rsid w:val="000652B9"/>
    <w:rsid w:val="00073B4B"/>
    <w:rsid w:val="000743C8"/>
    <w:rsid w:val="00082A1D"/>
    <w:rsid w:val="00085666"/>
    <w:rsid w:val="00095F29"/>
    <w:rsid w:val="00097928"/>
    <w:rsid w:val="00097CD3"/>
    <w:rsid w:val="000A46D2"/>
    <w:rsid w:val="000A60AD"/>
    <w:rsid w:val="000B4BE3"/>
    <w:rsid w:val="000B582F"/>
    <w:rsid w:val="000B6242"/>
    <w:rsid w:val="000C28FA"/>
    <w:rsid w:val="000C5BFA"/>
    <w:rsid w:val="000D0446"/>
    <w:rsid w:val="000D3330"/>
    <w:rsid w:val="000D333D"/>
    <w:rsid w:val="000D3D7C"/>
    <w:rsid w:val="000D6A24"/>
    <w:rsid w:val="000E2C27"/>
    <w:rsid w:val="000E42D9"/>
    <w:rsid w:val="000F216E"/>
    <w:rsid w:val="001022AF"/>
    <w:rsid w:val="00103727"/>
    <w:rsid w:val="00107784"/>
    <w:rsid w:val="0011376D"/>
    <w:rsid w:val="00123E33"/>
    <w:rsid w:val="0013421C"/>
    <w:rsid w:val="001344B2"/>
    <w:rsid w:val="001606A6"/>
    <w:rsid w:val="00161421"/>
    <w:rsid w:val="001651A7"/>
    <w:rsid w:val="001723A2"/>
    <w:rsid w:val="0017489A"/>
    <w:rsid w:val="00195CEA"/>
    <w:rsid w:val="001975DF"/>
    <w:rsid w:val="001A701C"/>
    <w:rsid w:val="001A7DF8"/>
    <w:rsid w:val="001B0C7A"/>
    <w:rsid w:val="001B3118"/>
    <w:rsid w:val="001D3E59"/>
    <w:rsid w:val="001E35E1"/>
    <w:rsid w:val="001E3F15"/>
    <w:rsid w:val="001F0619"/>
    <w:rsid w:val="00202FE8"/>
    <w:rsid w:val="00204BEB"/>
    <w:rsid w:val="002069D7"/>
    <w:rsid w:val="00207EFB"/>
    <w:rsid w:val="00212221"/>
    <w:rsid w:val="00220705"/>
    <w:rsid w:val="002248C3"/>
    <w:rsid w:val="00225608"/>
    <w:rsid w:val="002330DA"/>
    <w:rsid w:val="00233424"/>
    <w:rsid w:val="002343AB"/>
    <w:rsid w:val="0023536F"/>
    <w:rsid w:val="00240B06"/>
    <w:rsid w:val="00241C6E"/>
    <w:rsid w:val="00254869"/>
    <w:rsid w:val="00257D9D"/>
    <w:rsid w:val="00260305"/>
    <w:rsid w:val="00275E09"/>
    <w:rsid w:val="00275EB1"/>
    <w:rsid w:val="00290543"/>
    <w:rsid w:val="00293EEB"/>
    <w:rsid w:val="00294BFD"/>
    <w:rsid w:val="00294D2B"/>
    <w:rsid w:val="00295B3A"/>
    <w:rsid w:val="002A0653"/>
    <w:rsid w:val="002A67C9"/>
    <w:rsid w:val="002A72D9"/>
    <w:rsid w:val="002A74D9"/>
    <w:rsid w:val="002B51BF"/>
    <w:rsid w:val="002B5C3F"/>
    <w:rsid w:val="002B6DBA"/>
    <w:rsid w:val="002E1C1B"/>
    <w:rsid w:val="002F08B7"/>
    <w:rsid w:val="002F09F8"/>
    <w:rsid w:val="002F1349"/>
    <w:rsid w:val="002F3F9D"/>
    <w:rsid w:val="00310FA1"/>
    <w:rsid w:val="003125A5"/>
    <w:rsid w:val="00312842"/>
    <w:rsid w:val="003176A4"/>
    <w:rsid w:val="003176C8"/>
    <w:rsid w:val="00322BE8"/>
    <w:rsid w:val="00330B21"/>
    <w:rsid w:val="00335900"/>
    <w:rsid w:val="003420F1"/>
    <w:rsid w:val="00345B93"/>
    <w:rsid w:val="00347521"/>
    <w:rsid w:val="0035180E"/>
    <w:rsid w:val="00353782"/>
    <w:rsid w:val="0036153E"/>
    <w:rsid w:val="0036418D"/>
    <w:rsid w:val="003706D5"/>
    <w:rsid w:val="003738FE"/>
    <w:rsid w:val="00374419"/>
    <w:rsid w:val="0038167D"/>
    <w:rsid w:val="00381837"/>
    <w:rsid w:val="003836B2"/>
    <w:rsid w:val="00390BCB"/>
    <w:rsid w:val="00394233"/>
    <w:rsid w:val="003960C1"/>
    <w:rsid w:val="003A6331"/>
    <w:rsid w:val="003A6C50"/>
    <w:rsid w:val="003B10FD"/>
    <w:rsid w:val="003B1719"/>
    <w:rsid w:val="003B294C"/>
    <w:rsid w:val="003B42FA"/>
    <w:rsid w:val="003C115F"/>
    <w:rsid w:val="003C16FB"/>
    <w:rsid w:val="003C1DE4"/>
    <w:rsid w:val="003C463A"/>
    <w:rsid w:val="003D09B1"/>
    <w:rsid w:val="003D5CDA"/>
    <w:rsid w:val="003E08C5"/>
    <w:rsid w:val="003E09D8"/>
    <w:rsid w:val="003E0F17"/>
    <w:rsid w:val="003E206C"/>
    <w:rsid w:val="003E53F4"/>
    <w:rsid w:val="003F0AC0"/>
    <w:rsid w:val="003F2627"/>
    <w:rsid w:val="003F31BF"/>
    <w:rsid w:val="003F3373"/>
    <w:rsid w:val="0040334F"/>
    <w:rsid w:val="00407712"/>
    <w:rsid w:val="00407AE8"/>
    <w:rsid w:val="004130F4"/>
    <w:rsid w:val="0041428E"/>
    <w:rsid w:val="0041777A"/>
    <w:rsid w:val="00417CB6"/>
    <w:rsid w:val="00424CFA"/>
    <w:rsid w:val="00426061"/>
    <w:rsid w:val="004327CA"/>
    <w:rsid w:val="00437890"/>
    <w:rsid w:val="004432E4"/>
    <w:rsid w:val="0044407B"/>
    <w:rsid w:val="00451546"/>
    <w:rsid w:val="004556CE"/>
    <w:rsid w:val="00456A1B"/>
    <w:rsid w:val="004648A8"/>
    <w:rsid w:val="00466D5B"/>
    <w:rsid w:val="00467C7B"/>
    <w:rsid w:val="0047403B"/>
    <w:rsid w:val="0047551D"/>
    <w:rsid w:val="00475A49"/>
    <w:rsid w:val="00483442"/>
    <w:rsid w:val="00497899"/>
    <w:rsid w:val="004A07A5"/>
    <w:rsid w:val="004A5200"/>
    <w:rsid w:val="004C0A6D"/>
    <w:rsid w:val="004C4CA9"/>
    <w:rsid w:val="004C5176"/>
    <w:rsid w:val="004C52C7"/>
    <w:rsid w:val="004C5385"/>
    <w:rsid w:val="004C78C3"/>
    <w:rsid w:val="004D7F92"/>
    <w:rsid w:val="004E3259"/>
    <w:rsid w:val="004E327A"/>
    <w:rsid w:val="004E4595"/>
    <w:rsid w:val="004E51B9"/>
    <w:rsid w:val="004E726A"/>
    <w:rsid w:val="004F0FEA"/>
    <w:rsid w:val="004F6F4D"/>
    <w:rsid w:val="005004E0"/>
    <w:rsid w:val="00501644"/>
    <w:rsid w:val="005023EB"/>
    <w:rsid w:val="00504C46"/>
    <w:rsid w:val="0051100E"/>
    <w:rsid w:val="00511645"/>
    <w:rsid w:val="00512AF7"/>
    <w:rsid w:val="00524E6C"/>
    <w:rsid w:val="0053151E"/>
    <w:rsid w:val="00536914"/>
    <w:rsid w:val="00541C03"/>
    <w:rsid w:val="00542B8A"/>
    <w:rsid w:val="00543BCF"/>
    <w:rsid w:val="00556301"/>
    <w:rsid w:val="0056204A"/>
    <w:rsid w:val="0056259B"/>
    <w:rsid w:val="00563067"/>
    <w:rsid w:val="005714B1"/>
    <w:rsid w:val="0057474B"/>
    <w:rsid w:val="00574983"/>
    <w:rsid w:val="00580713"/>
    <w:rsid w:val="00582316"/>
    <w:rsid w:val="005A2231"/>
    <w:rsid w:val="005A392D"/>
    <w:rsid w:val="005A660B"/>
    <w:rsid w:val="005B4874"/>
    <w:rsid w:val="005B6F06"/>
    <w:rsid w:val="005C2DA6"/>
    <w:rsid w:val="005C2EAD"/>
    <w:rsid w:val="005C4B87"/>
    <w:rsid w:val="005C6873"/>
    <w:rsid w:val="005D17E4"/>
    <w:rsid w:val="005D1EF7"/>
    <w:rsid w:val="005D5700"/>
    <w:rsid w:val="005D7C24"/>
    <w:rsid w:val="005E0466"/>
    <w:rsid w:val="005E0EB6"/>
    <w:rsid w:val="005E4E9C"/>
    <w:rsid w:val="005E75A1"/>
    <w:rsid w:val="005F2AC2"/>
    <w:rsid w:val="005F69A9"/>
    <w:rsid w:val="0061117E"/>
    <w:rsid w:val="0061404A"/>
    <w:rsid w:val="00623779"/>
    <w:rsid w:val="0062529E"/>
    <w:rsid w:val="00632A38"/>
    <w:rsid w:val="00633032"/>
    <w:rsid w:val="006377B4"/>
    <w:rsid w:val="0064661B"/>
    <w:rsid w:val="0064730A"/>
    <w:rsid w:val="006504E4"/>
    <w:rsid w:val="00652FE4"/>
    <w:rsid w:val="00653981"/>
    <w:rsid w:val="00662CDC"/>
    <w:rsid w:val="0066306C"/>
    <w:rsid w:val="00674AF3"/>
    <w:rsid w:val="006759CC"/>
    <w:rsid w:val="00690AB1"/>
    <w:rsid w:val="00690DBE"/>
    <w:rsid w:val="00691585"/>
    <w:rsid w:val="0069380E"/>
    <w:rsid w:val="00693BD1"/>
    <w:rsid w:val="006A108D"/>
    <w:rsid w:val="006A300A"/>
    <w:rsid w:val="006A6774"/>
    <w:rsid w:val="006B23B8"/>
    <w:rsid w:val="006B51DF"/>
    <w:rsid w:val="006C5F40"/>
    <w:rsid w:val="006C699D"/>
    <w:rsid w:val="006C76C1"/>
    <w:rsid w:val="006D103B"/>
    <w:rsid w:val="006D2A3A"/>
    <w:rsid w:val="006D355B"/>
    <w:rsid w:val="006D3E46"/>
    <w:rsid w:val="006D4183"/>
    <w:rsid w:val="006F2B12"/>
    <w:rsid w:val="006F4577"/>
    <w:rsid w:val="00704FA6"/>
    <w:rsid w:val="007070AE"/>
    <w:rsid w:val="00707AE3"/>
    <w:rsid w:val="00714E55"/>
    <w:rsid w:val="00716CA9"/>
    <w:rsid w:val="00717E22"/>
    <w:rsid w:val="007216B7"/>
    <w:rsid w:val="00727E50"/>
    <w:rsid w:val="0073078E"/>
    <w:rsid w:val="00732E7E"/>
    <w:rsid w:val="00736D15"/>
    <w:rsid w:val="00737975"/>
    <w:rsid w:val="00743485"/>
    <w:rsid w:val="00746FD8"/>
    <w:rsid w:val="00747893"/>
    <w:rsid w:val="00751B52"/>
    <w:rsid w:val="007634CC"/>
    <w:rsid w:val="00764068"/>
    <w:rsid w:val="00765656"/>
    <w:rsid w:val="007739BA"/>
    <w:rsid w:val="00782E83"/>
    <w:rsid w:val="007850C7"/>
    <w:rsid w:val="00787302"/>
    <w:rsid w:val="00790339"/>
    <w:rsid w:val="0079239F"/>
    <w:rsid w:val="007924C9"/>
    <w:rsid w:val="0079538D"/>
    <w:rsid w:val="007A0CB1"/>
    <w:rsid w:val="007A3027"/>
    <w:rsid w:val="007B0C4B"/>
    <w:rsid w:val="007B3838"/>
    <w:rsid w:val="007C45DB"/>
    <w:rsid w:val="007D27F5"/>
    <w:rsid w:val="007F1518"/>
    <w:rsid w:val="007F4450"/>
    <w:rsid w:val="007F5174"/>
    <w:rsid w:val="00802BD0"/>
    <w:rsid w:val="008043D8"/>
    <w:rsid w:val="00805EF4"/>
    <w:rsid w:val="008172A4"/>
    <w:rsid w:val="00825D1D"/>
    <w:rsid w:val="00827FF7"/>
    <w:rsid w:val="00830884"/>
    <w:rsid w:val="00831220"/>
    <w:rsid w:val="0083224F"/>
    <w:rsid w:val="00836243"/>
    <w:rsid w:val="00837E0E"/>
    <w:rsid w:val="00847AD9"/>
    <w:rsid w:val="00857FAC"/>
    <w:rsid w:val="00862C3B"/>
    <w:rsid w:val="0086767F"/>
    <w:rsid w:val="008711A2"/>
    <w:rsid w:val="00875E38"/>
    <w:rsid w:val="0088608C"/>
    <w:rsid w:val="00887507"/>
    <w:rsid w:val="0089125B"/>
    <w:rsid w:val="00894A23"/>
    <w:rsid w:val="00896632"/>
    <w:rsid w:val="008A0B70"/>
    <w:rsid w:val="008A47F7"/>
    <w:rsid w:val="008B0A1E"/>
    <w:rsid w:val="008D65F0"/>
    <w:rsid w:val="008E19A9"/>
    <w:rsid w:val="008E50B6"/>
    <w:rsid w:val="008F2CCA"/>
    <w:rsid w:val="008F4784"/>
    <w:rsid w:val="009002CA"/>
    <w:rsid w:val="0091103F"/>
    <w:rsid w:val="00913D77"/>
    <w:rsid w:val="009142AA"/>
    <w:rsid w:val="00915471"/>
    <w:rsid w:val="00920719"/>
    <w:rsid w:val="009218DC"/>
    <w:rsid w:val="00924916"/>
    <w:rsid w:val="00926979"/>
    <w:rsid w:val="00932744"/>
    <w:rsid w:val="0093480C"/>
    <w:rsid w:val="00935870"/>
    <w:rsid w:val="00935934"/>
    <w:rsid w:val="00935D91"/>
    <w:rsid w:val="009502E3"/>
    <w:rsid w:val="009715EA"/>
    <w:rsid w:val="0097347F"/>
    <w:rsid w:val="00973AAA"/>
    <w:rsid w:val="009741BD"/>
    <w:rsid w:val="0097430C"/>
    <w:rsid w:val="00986BBF"/>
    <w:rsid w:val="00990511"/>
    <w:rsid w:val="00994B64"/>
    <w:rsid w:val="009957F6"/>
    <w:rsid w:val="009A1B45"/>
    <w:rsid w:val="009A7536"/>
    <w:rsid w:val="009B170D"/>
    <w:rsid w:val="009B6DA8"/>
    <w:rsid w:val="009C5330"/>
    <w:rsid w:val="009C6191"/>
    <w:rsid w:val="009C6F36"/>
    <w:rsid w:val="009C7954"/>
    <w:rsid w:val="009D1DDF"/>
    <w:rsid w:val="009D1EEB"/>
    <w:rsid w:val="009D23F4"/>
    <w:rsid w:val="009E0659"/>
    <w:rsid w:val="009E1292"/>
    <w:rsid w:val="009E4365"/>
    <w:rsid w:val="009E61FC"/>
    <w:rsid w:val="009E62BC"/>
    <w:rsid w:val="009F3F59"/>
    <w:rsid w:val="009F414B"/>
    <w:rsid w:val="009F618A"/>
    <w:rsid w:val="00A0292B"/>
    <w:rsid w:val="00A035B9"/>
    <w:rsid w:val="00A05249"/>
    <w:rsid w:val="00A05ACC"/>
    <w:rsid w:val="00A13785"/>
    <w:rsid w:val="00A14514"/>
    <w:rsid w:val="00A1555F"/>
    <w:rsid w:val="00A20151"/>
    <w:rsid w:val="00A226A3"/>
    <w:rsid w:val="00A310BE"/>
    <w:rsid w:val="00A31E97"/>
    <w:rsid w:val="00A41CB6"/>
    <w:rsid w:val="00A469F8"/>
    <w:rsid w:val="00A46E69"/>
    <w:rsid w:val="00A5099F"/>
    <w:rsid w:val="00A56043"/>
    <w:rsid w:val="00A61B49"/>
    <w:rsid w:val="00A63EA7"/>
    <w:rsid w:val="00A654B8"/>
    <w:rsid w:val="00A65D58"/>
    <w:rsid w:val="00A678A5"/>
    <w:rsid w:val="00A74023"/>
    <w:rsid w:val="00A82BB3"/>
    <w:rsid w:val="00A84133"/>
    <w:rsid w:val="00A858ED"/>
    <w:rsid w:val="00AA4A3C"/>
    <w:rsid w:val="00AA6362"/>
    <w:rsid w:val="00AB1787"/>
    <w:rsid w:val="00AB1B30"/>
    <w:rsid w:val="00AB380A"/>
    <w:rsid w:val="00AB5D2F"/>
    <w:rsid w:val="00AC603E"/>
    <w:rsid w:val="00AC66E2"/>
    <w:rsid w:val="00AC6822"/>
    <w:rsid w:val="00AC6BF4"/>
    <w:rsid w:val="00AC6D69"/>
    <w:rsid w:val="00AD116D"/>
    <w:rsid w:val="00AE1F9F"/>
    <w:rsid w:val="00AE35D6"/>
    <w:rsid w:val="00AE57FA"/>
    <w:rsid w:val="00AE5E8B"/>
    <w:rsid w:val="00AE6852"/>
    <w:rsid w:val="00AF030F"/>
    <w:rsid w:val="00AF415B"/>
    <w:rsid w:val="00AF4D3C"/>
    <w:rsid w:val="00AF531E"/>
    <w:rsid w:val="00AF6E2F"/>
    <w:rsid w:val="00B02D9D"/>
    <w:rsid w:val="00B076FB"/>
    <w:rsid w:val="00B162FA"/>
    <w:rsid w:val="00B22C70"/>
    <w:rsid w:val="00B241C1"/>
    <w:rsid w:val="00B27601"/>
    <w:rsid w:val="00B3389D"/>
    <w:rsid w:val="00B51671"/>
    <w:rsid w:val="00B56701"/>
    <w:rsid w:val="00B56D3A"/>
    <w:rsid w:val="00B57F51"/>
    <w:rsid w:val="00B60D40"/>
    <w:rsid w:val="00B62A50"/>
    <w:rsid w:val="00B63E83"/>
    <w:rsid w:val="00B6525F"/>
    <w:rsid w:val="00B66682"/>
    <w:rsid w:val="00B66B0D"/>
    <w:rsid w:val="00B71C8A"/>
    <w:rsid w:val="00B767EE"/>
    <w:rsid w:val="00B801D5"/>
    <w:rsid w:val="00B814E8"/>
    <w:rsid w:val="00B851CD"/>
    <w:rsid w:val="00B90523"/>
    <w:rsid w:val="00B92F24"/>
    <w:rsid w:val="00BA1857"/>
    <w:rsid w:val="00BA1A94"/>
    <w:rsid w:val="00BA38E3"/>
    <w:rsid w:val="00BB1BAA"/>
    <w:rsid w:val="00BB2231"/>
    <w:rsid w:val="00BD06D7"/>
    <w:rsid w:val="00BD10C8"/>
    <w:rsid w:val="00BD5801"/>
    <w:rsid w:val="00BD7034"/>
    <w:rsid w:val="00BE0E0A"/>
    <w:rsid w:val="00BE45D0"/>
    <w:rsid w:val="00BE6EE5"/>
    <w:rsid w:val="00BF04A1"/>
    <w:rsid w:val="00BF4C36"/>
    <w:rsid w:val="00BF65B4"/>
    <w:rsid w:val="00C00899"/>
    <w:rsid w:val="00C01810"/>
    <w:rsid w:val="00C01E38"/>
    <w:rsid w:val="00C0254C"/>
    <w:rsid w:val="00C0406D"/>
    <w:rsid w:val="00C0647F"/>
    <w:rsid w:val="00C116E9"/>
    <w:rsid w:val="00C12E20"/>
    <w:rsid w:val="00C154C0"/>
    <w:rsid w:val="00C2011B"/>
    <w:rsid w:val="00C24121"/>
    <w:rsid w:val="00C27FD2"/>
    <w:rsid w:val="00C31DCD"/>
    <w:rsid w:val="00C34232"/>
    <w:rsid w:val="00C35F56"/>
    <w:rsid w:val="00C4212E"/>
    <w:rsid w:val="00C446F1"/>
    <w:rsid w:val="00C53096"/>
    <w:rsid w:val="00C54A8E"/>
    <w:rsid w:val="00C569CB"/>
    <w:rsid w:val="00C60438"/>
    <w:rsid w:val="00C64571"/>
    <w:rsid w:val="00C67C50"/>
    <w:rsid w:val="00C70291"/>
    <w:rsid w:val="00C7419C"/>
    <w:rsid w:val="00C82722"/>
    <w:rsid w:val="00C86263"/>
    <w:rsid w:val="00C91B7D"/>
    <w:rsid w:val="00C92DB5"/>
    <w:rsid w:val="00C95333"/>
    <w:rsid w:val="00C95ECE"/>
    <w:rsid w:val="00CC2E31"/>
    <w:rsid w:val="00CC5F24"/>
    <w:rsid w:val="00CC6D4C"/>
    <w:rsid w:val="00CD22B7"/>
    <w:rsid w:val="00CD6E0F"/>
    <w:rsid w:val="00CE6940"/>
    <w:rsid w:val="00CE7182"/>
    <w:rsid w:val="00CE7B58"/>
    <w:rsid w:val="00CF25C3"/>
    <w:rsid w:val="00CF41C3"/>
    <w:rsid w:val="00D01715"/>
    <w:rsid w:val="00D06BDF"/>
    <w:rsid w:val="00D12A65"/>
    <w:rsid w:val="00D12AE2"/>
    <w:rsid w:val="00D16F30"/>
    <w:rsid w:val="00D2089F"/>
    <w:rsid w:val="00D220C1"/>
    <w:rsid w:val="00D23CEF"/>
    <w:rsid w:val="00D3453D"/>
    <w:rsid w:val="00D3571C"/>
    <w:rsid w:val="00D40713"/>
    <w:rsid w:val="00D41979"/>
    <w:rsid w:val="00D44D5B"/>
    <w:rsid w:val="00D46F2F"/>
    <w:rsid w:val="00D55D19"/>
    <w:rsid w:val="00D56EE5"/>
    <w:rsid w:val="00D61A30"/>
    <w:rsid w:val="00D71224"/>
    <w:rsid w:val="00D71737"/>
    <w:rsid w:val="00D71AB0"/>
    <w:rsid w:val="00D728F1"/>
    <w:rsid w:val="00D73B8B"/>
    <w:rsid w:val="00D906ED"/>
    <w:rsid w:val="00D96850"/>
    <w:rsid w:val="00DA00BC"/>
    <w:rsid w:val="00DA5C71"/>
    <w:rsid w:val="00DB1AD8"/>
    <w:rsid w:val="00DB2805"/>
    <w:rsid w:val="00DB29C1"/>
    <w:rsid w:val="00DB63B9"/>
    <w:rsid w:val="00DC67EA"/>
    <w:rsid w:val="00DD57FE"/>
    <w:rsid w:val="00DE77E1"/>
    <w:rsid w:val="00DF231F"/>
    <w:rsid w:val="00DF260B"/>
    <w:rsid w:val="00DF4310"/>
    <w:rsid w:val="00DF73D9"/>
    <w:rsid w:val="00E01A64"/>
    <w:rsid w:val="00E05543"/>
    <w:rsid w:val="00E14A88"/>
    <w:rsid w:val="00E15285"/>
    <w:rsid w:val="00E15370"/>
    <w:rsid w:val="00E1560D"/>
    <w:rsid w:val="00E15B9C"/>
    <w:rsid w:val="00E209E2"/>
    <w:rsid w:val="00E2340F"/>
    <w:rsid w:val="00E30045"/>
    <w:rsid w:val="00E30536"/>
    <w:rsid w:val="00E33A93"/>
    <w:rsid w:val="00E34FFB"/>
    <w:rsid w:val="00E354CF"/>
    <w:rsid w:val="00E355FC"/>
    <w:rsid w:val="00E377D9"/>
    <w:rsid w:val="00E37A8C"/>
    <w:rsid w:val="00E426B1"/>
    <w:rsid w:val="00E45457"/>
    <w:rsid w:val="00E4580F"/>
    <w:rsid w:val="00E50801"/>
    <w:rsid w:val="00E53AFE"/>
    <w:rsid w:val="00E54D51"/>
    <w:rsid w:val="00E554E3"/>
    <w:rsid w:val="00E576D7"/>
    <w:rsid w:val="00E602DF"/>
    <w:rsid w:val="00E73138"/>
    <w:rsid w:val="00E7436C"/>
    <w:rsid w:val="00E86C79"/>
    <w:rsid w:val="00E90338"/>
    <w:rsid w:val="00E904EF"/>
    <w:rsid w:val="00E9237B"/>
    <w:rsid w:val="00E9561C"/>
    <w:rsid w:val="00E97BA2"/>
    <w:rsid w:val="00EA1EF2"/>
    <w:rsid w:val="00EA2FB0"/>
    <w:rsid w:val="00EA602D"/>
    <w:rsid w:val="00EA7A1B"/>
    <w:rsid w:val="00EB76E2"/>
    <w:rsid w:val="00EB7C94"/>
    <w:rsid w:val="00ED231A"/>
    <w:rsid w:val="00ED2E68"/>
    <w:rsid w:val="00EE180C"/>
    <w:rsid w:val="00EE639F"/>
    <w:rsid w:val="00F073E6"/>
    <w:rsid w:val="00F156BC"/>
    <w:rsid w:val="00F24FDD"/>
    <w:rsid w:val="00F27FBA"/>
    <w:rsid w:val="00F3040F"/>
    <w:rsid w:val="00F600E8"/>
    <w:rsid w:val="00F62561"/>
    <w:rsid w:val="00F64C0A"/>
    <w:rsid w:val="00F66B85"/>
    <w:rsid w:val="00F6726A"/>
    <w:rsid w:val="00F727A4"/>
    <w:rsid w:val="00F7281E"/>
    <w:rsid w:val="00F800BC"/>
    <w:rsid w:val="00F83645"/>
    <w:rsid w:val="00F85D24"/>
    <w:rsid w:val="00F93C6A"/>
    <w:rsid w:val="00F96F83"/>
    <w:rsid w:val="00FA0B83"/>
    <w:rsid w:val="00FA15A3"/>
    <w:rsid w:val="00FA2AC8"/>
    <w:rsid w:val="00FA2DCC"/>
    <w:rsid w:val="00FB0C47"/>
    <w:rsid w:val="00FB146C"/>
    <w:rsid w:val="00FB2F8D"/>
    <w:rsid w:val="00FB7447"/>
    <w:rsid w:val="00FC0BBF"/>
    <w:rsid w:val="00FC73E0"/>
    <w:rsid w:val="00FD228F"/>
    <w:rsid w:val="00FD2D47"/>
    <w:rsid w:val="00FD3A6D"/>
    <w:rsid w:val="00FD61B5"/>
    <w:rsid w:val="00FE6B27"/>
    <w:rsid w:val="00FE7C6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B10FD"/>
    <w:pPr>
      <w:spacing w:line="508"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B10FD"/>
    <w:pPr>
      <w:spacing w:line="254" w:lineRule="exact"/>
    </w:pPr>
  </w:style>
  <w:style w:type="paragraph" w:customStyle="1" w:styleId="15Spacing">
    <w:name w:val="1.5 Spacing"/>
    <w:basedOn w:val="Normal"/>
    <w:rsid w:val="003B10FD"/>
    <w:pPr>
      <w:spacing w:line="381" w:lineRule="exact"/>
    </w:pPr>
  </w:style>
  <w:style w:type="paragraph" w:customStyle="1" w:styleId="DoubleSpacing">
    <w:name w:val="Double Spacing"/>
    <w:basedOn w:val="Normal"/>
    <w:rsid w:val="003B10FD"/>
  </w:style>
  <w:style w:type="paragraph" w:customStyle="1" w:styleId="AttorneyName">
    <w:name w:val="Attorney Name"/>
    <w:basedOn w:val="SingleSpacing"/>
    <w:rsid w:val="003B10FD"/>
  </w:style>
  <w:style w:type="paragraph" w:customStyle="1" w:styleId="FirmName">
    <w:name w:val="Firm Name"/>
    <w:basedOn w:val="SingleSpacing"/>
    <w:rsid w:val="003B10FD"/>
    <w:pPr>
      <w:jc w:val="center"/>
    </w:pPr>
  </w:style>
  <w:style w:type="paragraph" w:customStyle="1" w:styleId="SignatureBlock">
    <w:name w:val="Signature Block"/>
    <w:basedOn w:val="SingleSpacing"/>
    <w:rsid w:val="003B10FD"/>
    <w:pPr>
      <w:ind w:left="5760"/>
    </w:pPr>
  </w:style>
  <w:style w:type="paragraph" w:styleId="Header">
    <w:name w:val="header"/>
    <w:basedOn w:val="Normal"/>
    <w:rsid w:val="003B10FD"/>
    <w:pPr>
      <w:tabs>
        <w:tab w:val="center" w:pos="4320"/>
        <w:tab w:val="right" w:pos="8640"/>
      </w:tabs>
    </w:pPr>
  </w:style>
  <w:style w:type="paragraph" w:styleId="Footer">
    <w:name w:val="footer"/>
    <w:basedOn w:val="Normal"/>
    <w:link w:val="FooterChar"/>
    <w:uiPriority w:val="99"/>
    <w:rsid w:val="003B10FD"/>
    <w:pPr>
      <w:tabs>
        <w:tab w:val="center" w:pos="4320"/>
        <w:tab w:val="right" w:pos="8640"/>
      </w:tabs>
    </w:pPr>
  </w:style>
  <w:style w:type="paragraph" w:styleId="BalloonText">
    <w:name w:val="Balloon Text"/>
    <w:basedOn w:val="Normal"/>
    <w:semiHidden/>
    <w:rsid w:val="00EB200C"/>
    <w:rPr>
      <w:rFonts w:ascii="Tahoma" w:hAnsi="Tahoma" w:cs="Tahoma"/>
      <w:sz w:val="16"/>
      <w:szCs w:val="16"/>
    </w:rPr>
  </w:style>
  <w:style w:type="character" w:styleId="PageNumber">
    <w:name w:val="page number"/>
    <w:basedOn w:val="DefaultParagraphFont"/>
    <w:rsid w:val="006455F6"/>
  </w:style>
  <w:style w:type="paragraph" w:styleId="FootnoteText">
    <w:name w:val="footnote text"/>
    <w:basedOn w:val="Normal"/>
    <w:link w:val="FootnoteTextChar"/>
    <w:semiHidden/>
    <w:rsid w:val="007C1517"/>
    <w:rPr>
      <w:sz w:val="24"/>
      <w:szCs w:val="24"/>
    </w:rPr>
  </w:style>
  <w:style w:type="character" w:styleId="FootnoteReference">
    <w:name w:val="footnote reference"/>
    <w:semiHidden/>
    <w:rsid w:val="007C1517"/>
    <w:rPr>
      <w:vertAlign w:val="superscript"/>
    </w:rPr>
  </w:style>
  <w:style w:type="character" w:customStyle="1" w:styleId="FooterChar">
    <w:name w:val="Footer Char"/>
    <w:basedOn w:val="DefaultParagraphFont"/>
    <w:link w:val="Footer"/>
    <w:uiPriority w:val="99"/>
    <w:rsid w:val="00014E91"/>
  </w:style>
  <w:style w:type="paragraph" w:styleId="ListParagraph">
    <w:name w:val="List Paragraph"/>
    <w:basedOn w:val="Normal"/>
    <w:uiPriority w:val="72"/>
    <w:qFormat/>
    <w:rsid w:val="00497899"/>
    <w:pPr>
      <w:ind w:left="720"/>
      <w:contextualSpacing/>
    </w:pPr>
  </w:style>
  <w:style w:type="character" w:customStyle="1" w:styleId="FootnoteTextChar">
    <w:name w:val="Footnote Text Char"/>
    <w:basedOn w:val="DefaultParagraphFont"/>
    <w:link w:val="FootnoteText"/>
    <w:semiHidden/>
    <w:rsid w:val="00E14A88"/>
    <w:rPr>
      <w:sz w:val="24"/>
      <w:szCs w:val="24"/>
    </w:rPr>
  </w:style>
</w:styles>
</file>

<file path=word/webSettings.xml><?xml version="1.0" encoding="utf-8"?>
<w:webSettings xmlns:r="http://schemas.openxmlformats.org/officeDocument/2006/relationships" xmlns:w="http://schemas.openxmlformats.org/wordprocessingml/2006/main">
  <w:divs>
    <w:div w:id="28343090">
      <w:bodyDiv w:val="1"/>
      <w:marLeft w:val="0"/>
      <w:marRight w:val="0"/>
      <w:marTop w:val="0"/>
      <w:marBottom w:val="0"/>
      <w:divBdr>
        <w:top w:val="none" w:sz="0" w:space="0" w:color="auto"/>
        <w:left w:val="none" w:sz="0" w:space="0" w:color="auto"/>
        <w:bottom w:val="none" w:sz="0" w:space="0" w:color="auto"/>
        <w:right w:val="none" w:sz="0" w:space="0" w:color="auto"/>
      </w:divBdr>
    </w:div>
    <w:div w:id="20345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Legal%20Pleadings\BEFORE%20THE%20GUAM%20PUBLIC%20UTILITIES%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8C76-D423-402B-A486-9C8DB6D7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BEFORE THE GUAM PUBLIC UTILITIES COMMISSION</Template>
  <TotalTime>0</TotalTime>
  <Pages>7</Pages>
  <Words>1304</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Pleading Wizard</vt:lpstr>
    </vt:vector>
  </TitlesOfParts>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
  <cp:lastModifiedBy/>
  <cp:revision>1</cp:revision>
  <cp:lastPrinted>2009-11-02T02:41:00Z</cp:lastPrinted>
  <dcterms:created xsi:type="dcterms:W3CDTF">2017-02-22T03:45:00Z</dcterms:created>
  <dcterms:modified xsi:type="dcterms:W3CDTF">2017-02-22T04:58:00Z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