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A48" w:rsidRDefault="00694A48" w:rsidP="00694A48">
      <w:pPr>
        <w:jc w:val="center"/>
        <w:rPr>
          <w:rFonts w:ascii="Times New Roman" w:hAnsi="Times New Roman"/>
          <w:b/>
        </w:rPr>
      </w:pPr>
      <w:r>
        <w:rPr>
          <w:rFonts w:ascii="Times New Roman" w:hAnsi="Times New Roman"/>
          <w:b/>
        </w:rPr>
        <w:t>BEFORE THE GUAM PUBLIC UTILITIES COMMISSION</w:t>
      </w:r>
    </w:p>
    <w:p w:rsidR="00B61E0E" w:rsidRDefault="00B61E0E" w:rsidP="00704262">
      <w:pPr>
        <w:rPr>
          <w:rFonts w:ascii="Times New Roman" w:hAnsi="Times New Roman"/>
        </w:rPr>
      </w:pPr>
    </w:p>
    <w:p w:rsidR="009C248D" w:rsidRPr="008B6D15" w:rsidRDefault="009C248D" w:rsidP="009C248D">
      <w:pPr>
        <w:tabs>
          <w:tab w:val="left" w:pos="4500"/>
          <w:tab w:val="left" w:pos="5220"/>
        </w:tabs>
        <w:rPr>
          <w:rFonts w:ascii="Times New Roman" w:hAnsi="Times New Roman"/>
          <w:b/>
        </w:rPr>
      </w:pPr>
      <w:r w:rsidRPr="008B6D15">
        <w:rPr>
          <w:rFonts w:ascii="Times New Roman" w:hAnsi="Times New Roman"/>
          <w:b/>
        </w:rPr>
        <w:t xml:space="preserve">PETITION </w:t>
      </w:r>
      <w:r w:rsidR="008B6D15" w:rsidRPr="008B6D15">
        <w:rPr>
          <w:rFonts w:ascii="Times New Roman" w:hAnsi="Times New Roman"/>
          <w:b/>
        </w:rPr>
        <w:t>FOR APPROVAL OF</w:t>
      </w:r>
      <w:r w:rsidRPr="008B6D15">
        <w:rPr>
          <w:rFonts w:ascii="Times New Roman" w:hAnsi="Times New Roman"/>
          <w:b/>
        </w:rPr>
        <w:tab/>
      </w:r>
      <w:r w:rsidRPr="008B6D15">
        <w:rPr>
          <w:rFonts w:ascii="Times New Roman" w:hAnsi="Times New Roman"/>
        </w:rPr>
        <w:t>)</w:t>
      </w:r>
      <w:r w:rsidR="003450A4" w:rsidRPr="008B6D15">
        <w:rPr>
          <w:rFonts w:ascii="Times New Roman" w:hAnsi="Times New Roman"/>
          <w:b/>
        </w:rPr>
        <w:tab/>
        <w:t>GWA DOCKET 1</w:t>
      </w:r>
      <w:r w:rsidR="00DF5B95">
        <w:rPr>
          <w:rFonts w:ascii="Times New Roman" w:hAnsi="Times New Roman"/>
          <w:b/>
        </w:rPr>
        <w:t>7</w:t>
      </w:r>
      <w:r w:rsidR="003450A4" w:rsidRPr="008B6D15">
        <w:rPr>
          <w:rFonts w:ascii="Times New Roman" w:hAnsi="Times New Roman"/>
          <w:b/>
        </w:rPr>
        <w:t>-0</w:t>
      </w:r>
      <w:r w:rsidR="00DF5B95">
        <w:rPr>
          <w:rFonts w:ascii="Times New Roman" w:hAnsi="Times New Roman"/>
          <w:b/>
        </w:rPr>
        <w:t>2</w:t>
      </w:r>
    </w:p>
    <w:p w:rsidR="00DF5B95" w:rsidRDefault="00DF5B95" w:rsidP="009C248D">
      <w:pPr>
        <w:tabs>
          <w:tab w:val="left" w:pos="4500"/>
          <w:tab w:val="left" w:pos="5220"/>
        </w:tabs>
        <w:rPr>
          <w:rFonts w:ascii="Times New Roman" w:hAnsi="Times New Roman"/>
          <w:b/>
        </w:rPr>
      </w:pPr>
      <w:r>
        <w:rPr>
          <w:rFonts w:ascii="Times New Roman" w:hAnsi="Times New Roman"/>
          <w:b/>
        </w:rPr>
        <w:t>REMAINING FUNDS TO BE EXPENDED</w:t>
      </w:r>
      <w:r w:rsidRPr="001F7F0E">
        <w:rPr>
          <w:rFonts w:ascii="Times New Roman" w:hAnsi="Times New Roman"/>
        </w:rPr>
        <w:tab/>
        <w:t>)</w:t>
      </w:r>
    </w:p>
    <w:p w:rsidR="00DF5B95" w:rsidRDefault="00DF5B95" w:rsidP="009C248D">
      <w:pPr>
        <w:tabs>
          <w:tab w:val="left" w:pos="4500"/>
          <w:tab w:val="left" w:pos="5220"/>
        </w:tabs>
        <w:rPr>
          <w:rFonts w:ascii="Times New Roman" w:hAnsi="Times New Roman"/>
          <w:b/>
        </w:rPr>
      </w:pPr>
      <w:proofErr w:type="gramStart"/>
      <w:r>
        <w:rPr>
          <w:rFonts w:ascii="Times New Roman" w:hAnsi="Times New Roman"/>
          <w:b/>
        </w:rPr>
        <w:t xml:space="preserve">UNDER </w:t>
      </w:r>
      <w:r w:rsidR="008B6D15" w:rsidRPr="008B6D15">
        <w:rPr>
          <w:rFonts w:ascii="Times New Roman" w:hAnsi="Times New Roman"/>
          <w:b/>
        </w:rPr>
        <w:t>AMENDMENT NO.</w:t>
      </w:r>
      <w:proofErr w:type="gramEnd"/>
      <w:r w:rsidR="008B6D15" w:rsidRPr="008B6D15">
        <w:rPr>
          <w:rFonts w:ascii="Times New Roman" w:hAnsi="Times New Roman"/>
          <w:b/>
        </w:rPr>
        <w:t xml:space="preserve"> 6 TO PMO </w:t>
      </w:r>
      <w:r>
        <w:rPr>
          <w:rFonts w:ascii="Times New Roman" w:hAnsi="Times New Roman"/>
          <w:b/>
        </w:rPr>
        <w:tab/>
      </w:r>
      <w:r w:rsidRPr="001F7F0E">
        <w:rPr>
          <w:rFonts w:ascii="Times New Roman" w:hAnsi="Times New Roman"/>
        </w:rPr>
        <w:t>)</w:t>
      </w:r>
    </w:p>
    <w:p w:rsidR="009C248D" w:rsidRPr="008B6D15" w:rsidRDefault="00DF5B95" w:rsidP="009C248D">
      <w:pPr>
        <w:tabs>
          <w:tab w:val="left" w:pos="4500"/>
          <w:tab w:val="left" w:pos="5220"/>
        </w:tabs>
        <w:rPr>
          <w:rFonts w:ascii="Times New Roman" w:hAnsi="Times New Roman"/>
          <w:b/>
        </w:rPr>
      </w:pPr>
      <w:r>
        <w:rPr>
          <w:rFonts w:ascii="Times New Roman" w:hAnsi="Times New Roman"/>
          <w:b/>
        </w:rPr>
        <w:t xml:space="preserve">CONTRACT </w:t>
      </w:r>
      <w:r w:rsidR="008B6D15" w:rsidRPr="008B6D15">
        <w:rPr>
          <w:rFonts w:ascii="Times New Roman" w:hAnsi="Times New Roman"/>
          <w:b/>
        </w:rPr>
        <w:t>WITH</w:t>
      </w:r>
      <w:r>
        <w:rPr>
          <w:rFonts w:ascii="Times New Roman" w:hAnsi="Times New Roman"/>
          <w:b/>
        </w:rPr>
        <w:t xml:space="preserve"> </w:t>
      </w:r>
      <w:r w:rsidRPr="008B6D15">
        <w:rPr>
          <w:rFonts w:ascii="Times New Roman" w:hAnsi="Times New Roman"/>
          <w:b/>
        </w:rPr>
        <w:t>BROWN &amp;</w:t>
      </w:r>
      <w:r w:rsidR="00F071E9" w:rsidRPr="008B6D15">
        <w:rPr>
          <w:rFonts w:ascii="Times New Roman" w:hAnsi="Times New Roman"/>
          <w:b/>
        </w:rPr>
        <w:tab/>
      </w:r>
      <w:r w:rsidR="009C248D" w:rsidRPr="008B6D15">
        <w:rPr>
          <w:rFonts w:ascii="Times New Roman" w:hAnsi="Times New Roman"/>
        </w:rPr>
        <w:t>)</w:t>
      </w:r>
      <w:r w:rsidRPr="008B6D15">
        <w:rPr>
          <w:rFonts w:ascii="Times New Roman" w:hAnsi="Times New Roman"/>
        </w:rPr>
        <w:tab/>
      </w:r>
      <w:r w:rsidR="00A612EE">
        <w:rPr>
          <w:rFonts w:ascii="Times New Roman" w:hAnsi="Times New Roman"/>
          <w:b/>
        </w:rPr>
        <w:t>ORDER</w:t>
      </w:r>
    </w:p>
    <w:p w:rsidR="009C248D" w:rsidRPr="008B6D15" w:rsidRDefault="00DF5B95" w:rsidP="009C248D">
      <w:pPr>
        <w:tabs>
          <w:tab w:val="left" w:pos="4500"/>
          <w:tab w:val="left" w:pos="5220"/>
        </w:tabs>
        <w:rPr>
          <w:rFonts w:ascii="Times New Roman" w:hAnsi="Times New Roman"/>
        </w:rPr>
      </w:pPr>
      <w:r w:rsidRPr="008B6D15">
        <w:rPr>
          <w:rFonts w:ascii="Times New Roman" w:hAnsi="Times New Roman"/>
          <w:b/>
        </w:rPr>
        <w:t xml:space="preserve">CALDWELL </w:t>
      </w:r>
      <w:r w:rsidR="008B6D15" w:rsidRPr="008B6D15">
        <w:rPr>
          <w:rFonts w:ascii="Times New Roman" w:hAnsi="Times New Roman"/>
          <w:b/>
        </w:rPr>
        <w:t>BY GUAM</w:t>
      </w:r>
      <w:r w:rsidR="009C248D" w:rsidRPr="008B6D15">
        <w:rPr>
          <w:rFonts w:ascii="Times New Roman" w:hAnsi="Times New Roman"/>
          <w:b/>
        </w:rPr>
        <w:tab/>
      </w:r>
      <w:r w:rsidR="009C248D" w:rsidRPr="008B6D15">
        <w:rPr>
          <w:rFonts w:ascii="Times New Roman" w:hAnsi="Times New Roman"/>
        </w:rPr>
        <w:t>)</w:t>
      </w:r>
    </w:p>
    <w:p w:rsidR="009C248D" w:rsidRPr="00614DA2" w:rsidRDefault="008B6D15" w:rsidP="009C248D">
      <w:pPr>
        <w:tabs>
          <w:tab w:val="left" w:pos="4500"/>
          <w:tab w:val="left" w:pos="5220"/>
        </w:tabs>
        <w:rPr>
          <w:rFonts w:ascii="Times New Roman" w:hAnsi="Times New Roman"/>
        </w:rPr>
      </w:pPr>
      <w:r w:rsidRPr="008B6D15">
        <w:rPr>
          <w:rFonts w:ascii="Times New Roman" w:hAnsi="Times New Roman"/>
          <w:b/>
        </w:rPr>
        <w:t>WATERWORKS AUTHORITY</w:t>
      </w:r>
      <w:r w:rsidR="009C248D" w:rsidRPr="008B6D15">
        <w:rPr>
          <w:rFonts w:ascii="Times New Roman" w:hAnsi="Times New Roman"/>
          <w:b/>
        </w:rPr>
        <w:tab/>
      </w:r>
      <w:r w:rsidR="00322EA0" w:rsidRPr="008B6D15">
        <w:rPr>
          <w:rFonts w:ascii="Times New Roman" w:hAnsi="Times New Roman"/>
        </w:rPr>
        <w:t>)</w:t>
      </w:r>
    </w:p>
    <w:p w:rsidR="009C248D" w:rsidRPr="001127F8" w:rsidRDefault="009C248D" w:rsidP="009C248D">
      <w:pPr>
        <w:tabs>
          <w:tab w:val="left" w:pos="4500"/>
          <w:tab w:val="left" w:pos="5220"/>
        </w:tabs>
        <w:rPr>
          <w:rFonts w:ascii="Times New Roman" w:hAnsi="Times New Roman"/>
        </w:rPr>
      </w:pPr>
      <w:r w:rsidRPr="001127F8">
        <w:rPr>
          <w:rFonts w:ascii="Times New Roman" w:hAnsi="Times New Roman"/>
          <w:spacing w:val="-10"/>
          <w:u w:val="single"/>
        </w:rPr>
        <w:tab/>
      </w:r>
      <w:r w:rsidRPr="001127F8">
        <w:rPr>
          <w:rFonts w:ascii="Times New Roman" w:hAnsi="Times New Roman"/>
          <w:spacing w:val="-10"/>
        </w:rPr>
        <w:t>)</w:t>
      </w:r>
    </w:p>
    <w:p w:rsidR="00786B84" w:rsidRDefault="00786B84" w:rsidP="00694A48">
      <w:pPr>
        <w:rPr>
          <w:rFonts w:ascii="Times New Roman" w:hAnsi="Times New Roman"/>
        </w:rPr>
      </w:pPr>
    </w:p>
    <w:p w:rsidR="00F55EFA" w:rsidRDefault="00F55EFA" w:rsidP="00694A48">
      <w:pPr>
        <w:rPr>
          <w:rFonts w:ascii="Times New Roman" w:hAnsi="Times New Roman"/>
        </w:rPr>
      </w:pPr>
    </w:p>
    <w:p w:rsidR="00E45BED" w:rsidRDefault="00E45BED" w:rsidP="00D210B2">
      <w:pPr>
        <w:spacing w:line="480" w:lineRule="auto"/>
        <w:jc w:val="both"/>
        <w:rPr>
          <w:rFonts w:ascii="Times New Roman" w:hAnsi="Times New Roman"/>
        </w:rPr>
      </w:pPr>
      <w:r>
        <w:rPr>
          <w:rFonts w:ascii="Times New Roman" w:hAnsi="Times New Roman"/>
        </w:rPr>
        <w:tab/>
      </w:r>
      <w:r>
        <w:rPr>
          <w:rFonts w:ascii="Times New Roman" w:hAnsi="Times New Roman"/>
        </w:rPr>
        <w:tab/>
      </w:r>
      <w:r w:rsidRPr="008B6D15">
        <w:rPr>
          <w:rFonts w:ascii="Times New Roman" w:hAnsi="Times New Roman"/>
        </w:rPr>
        <w:t>This matter comes before the Guam Public Utilities Commission (the “PUC”</w:t>
      </w:r>
      <w:r w:rsidR="00BE6DC7" w:rsidRPr="008B6D15">
        <w:rPr>
          <w:rFonts w:ascii="Times New Roman" w:hAnsi="Times New Roman"/>
        </w:rPr>
        <w:t xml:space="preserve"> or the “Commission”</w:t>
      </w:r>
      <w:r w:rsidRPr="008B6D15">
        <w:rPr>
          <w:rFonts w:ascii="Times New Roman" w:hAnsi="Times New Roman"/>
        </w:rPr>
        <w:t>) pur</w:t>
      </w:r>
      <w:r w:rsidR="00024B8F" w:rsidRPr="008B6D15">
        <w:rPr>
          <w:rFonts w:ascii="Times New Roman" w:hAnsi="Times New Roman"/>
        </w:rPr>
        <w:t xml:space="preserve">suant to the </w:t>
      </w:r>
      <w:r w:rsidR="00A01B7E" w:rsidRPr="008B6D15">
        <w:rPr>
          <w:rFonts w:ascii="Times New Roman" w:hAnsi="Times New Roman"/>
        </w:rPr>
        <w:t xml:space="preserve">Petition for </w:t>
      </w:r>
      <w:r w:rsidR="00895B21" w:rsidRPr="008B6D15">
        <w:rPr>
          <w:rFonts w:ascii="Times New Roman" w:hAnsi="Times New Roman"/>
        </w:rPr>
        <w:t>approval of</w:t>
      </w:r>
      <w:r w:rsidR="00DF5B95">
        <w:rPr>
          <w:rFonts w:ascii="Times New Roman" w:hAnsi="Times New Roman"/>
        </w:rPr>
        <w:t xml:space="preserve"> the remaining </w:t>
      </w:r>
      <w:r w:rsidR="001F7F0E">
        <w:rPr>
          <w:rFonts w:ascii="Times New Roman" w:hAnsi="Times New Roman"/>
        </w:rPr>
        <w:t xml:space="preserve">half </w:t>
      </w:r>
      <w:r w:rsidR="00DF5B95">
        <w:rPr>
          <w:rFonts w:ascii="Times New Roman" w:hAnsi="Times New Roman"/>
        </w:rPr>
        <w:t>of</w:t>
      </w:r>
      <w:r w:rsidR="00911E61" w:rsidRPr="008B6D15">
        <w:rPr>
          <w:rFonts w:ascii="Times New Roman" w:hAnsi="Times New Roman"/>
        </w:rPr>
        <w:t xml:space="preserve"> a $</w:t>
      </w:r>
      <w:r w:rsidR="008B6D15">
        <w:rPr>
          <w:rFonts w:ascii="Times New Roman" w:hAnsi="Times New Roman"/>
        </w:rPr>
        <w:t>4</w:t>
      </w:r>
      <w:r w:rsidR="00911E61" w:rsidRPr="008B6D15">
        <w:rPr>
          <w:rFonts w:ascii="Times New Roman" w:hAnsi="Times New Roman"/>
        </w:rPr>
        <w:t>,</w:t>
      </w:r>
      <w:r w:rsidR="008B6D15">
        <w:rPr>
          <w:rFonts w:ascii="Times New Roman" w:hAnsi="Times New Roman"/>
        </w:rPr>
        <w:t>059</w:t>
      </w:r>
      <w:r w:rsidR="00911E61" w:rsidRPr="008B6D15">
        <w:rPr>
          <w:rFonts w:ascii="Times New Roman" w:hAnsi="Times New Roman"/>
        </w:rPr>
        <w:t>,</w:t>
      </w:r>
      <w:r w:rsidR="008B6D15">
        <w:rPr>
          <w:rFonts w:ascii="Times New Roman" w:hAnsi="Times New Roman"/>
        </w:rPr>
        <w:t>877</w:t>
      </w:r>
      <w:r w:rsidR="000E6901">
        <w:rPr>
          <w:rFonts w:ascii="Times New Roman" w:hAnsi="Times New Roman"/>
        </w:rPr>
        <w:t>.00</w:t>
      </w:r>
      <w:r w:rsidR="00911E61" w:rsidRPr="008B6D15">
        <w:rPr>
          <w:rFonts w:ascii="Times New Roman" w:hAnsi="Times New Roman"/>
        </w:rPr>
        <w:t xml:space="preserve"> </w:t>
      </w:r>
      <w:r w:rsidRPr="008B6D15">
        <w:rPr>
          <w:rFonts w:ascii="Times New Roman" w:hAnsi="Times New Roman"/>
        </w:rPr>
        <w:t>increase in the Program Management Office (“PMO”) contract with Brown &amp; Caldwell</w:t>
      </w:r>
      <w:r w:rsidR="008B6D15">
        <w:rPr>
          <w:rFonts w:ascii="Times New Roman" w:hAnsi="Times New Roman"/>
        </w:rPr>
        <w:t>, specifically Amendment No. 6</w:t>
      </w:r>
      <w:r w:rsidRPr="008B6D15">
        <w:rPr>
          <w:rFonts w:ascii="Times New Roman" w:hAnsi="Times New Roman"/>
        </w:rPr>
        <w:t xml:space="preserve">, filed by </w:t>
      </w:r>
      <w:r w:rsidR="00A674F5" w:rsidRPr="008B6D15">
        <w:rPr>
          <w:rFonts w:ascii="Times New Roman" w:hAnsi="Times New Roman"/>
        </w:rPr>
        <w:t xml:space="preserve">the </w:t>
      </w:r>
      <w:r w:rsidRPr="008B6D15">
        <w:rPr>
          <w:rFonts w:ascii="Times New Roman" w:hAnsi="Times New Roman"/>
        </w:rPr>
        <w:t>Guam Waterworks Authority (“GWA”) on</w:t>
      </w:r>
      <w:r w:rsidR="00A01B7E" w:rsidRPr="008B6D15">
        <w:rPr>
          <w:rFonts w:ascii="Times New Roman" w:hAnsi="Times New Roman"/>
        </w:rPr>
        <w:t xml:space="preserve"> </w:t>
      </w:r>
      <w:r w:rsidR="00DF5B95">
        <w:rPr>
          <w:rFonts w:ascii="Times New Roman" w:hAnsi="Times New Roman"/>
        </w:rPr>
        <w:t>January 5, 2017</w:t>
      </w:r>
      <w:r w:rsidR="00A01B7E">
        <w:rPr>
          <w:rFonts w:ascii="Times New Roman" w:hAnsi="Times New Roman"/>
        </w:rPr>
        <w:t>.</w:t>
      </w:r>
      <w:r>
        <w:rPr>
          <w:rFonts w:ascii="Times New Roman" w:hAnsi="Times New Roman"/>
        </w:rPr>
        <w:t xml:space="preserve"> </w:t>
      </w:r>
    </w:p>
    <w:p w:rsidR="00907167" w:rsidRDefault="00AF0EA9" w:rsidP="00BA709D">
      <w:pPr>
        <w:spacing w:line="480" w:lineRule="auto"/>
        <w:jc w:val="center"/>
        <w:rPr>
          <w:rFonts w:ascii="Times New Roman" w:hAnsi="Times New Roman"/>
        </w:rPr>
      </w:pPr>
      <w:r>
        <w:rPr>
          <w:rFonts w:ascii="Times New Roman" w:hAnsi="Times New Roman"/>
          <w:b/>
          <w:u w:val="single"/>
        </w:rPr>
        <w:t>DETERMINATIONS</w:t>
      </w:r>
    </w:p>
    <w:p w:rsidR="001D0F01" w:rsidRPr="007B0DBF" w:rsidRDefault="001D0F01" w:rsidP="001D0F01">
      <w:pPr>
        <w:spacing w:line="480" w:lineRule="auto"/>
        <w:ind w:firstLine="720"/>
        <w:jc w:val="both"/>
        <w:rPr>
          <w:rFonts w:ascii="Times New Roman" w:hAnsi="Times New Roman"/>
          <w:b/>
          <w:u w:val="single"/>
        </w:rPr>
      </w:pPr>
      <w:r>
        <w:rPr>
          <w:rFonts w:ascii="Times New Roman" w:hAnsi="Times New Roman"/>
          <w:b/>
        </w:rPr>
        <w:t>A.</w:t>
      </w:r>
      <w:r>
        <w:rPr>
          <w:rFonts w:ascii="Times New Roman" w:hAnsi="Times New Roman"/>
          <w:b/>
        </w:rPr>
        <w:tab/>
      </w:r>
      <w:r w:rsidRPr="007B0DBF">
        <w:rPr>
          <w:rFonts w:ascii="Times New Roman" w:hAnsi="Times New Roman"/>
          <w:b/>
          <w:u w:val="single"/>
        </w:rPr>
        <w:t xml:space="preserve">Review of </w:t>
      </w:r>
      <w:r>
        <w:rPr>
          <w:rFonts w:ascii="Times New Roman" w:hAnsi="Times New Roman"/>
          <w:b/>
          <w:u w:val="single"/>
        </w:rPr>
        <w:t xml:space="preserve">GWA’s </w:t>
      </w:r>
      <w:r w:rsidRPr="007B0DBF">
        <w:rPr>
          <w:rFonts w:ascii="Times New Roman" w:hAnsi="Times New Roman"/>
          <w:b/>
          <w:u w:val="single"/>
        </w:rPr>
        <w:t>PMO Contract</w:t>
      </w:r>
    </w:p>
    <w:p w:rsidR="00F67F64" w:rsidRDefault="001D0F01" w:rsidP="00F67F64">
      <w:pPr>
        <w:spacing w:line="480" w:lineRule="auto"/>
        <w:ind w:firstLine="1440"/>
        <w:jc w:val="both"/>
        <w:rPr>
          <w:rFonts w:ascii="Times New Roman" w:hAnsi="Times New Roman"/>
        </w:rPr>
      </w:pPr>
      <w:r>
        <w:rPr>
          <w:rFonts w:ascii="Times New Roman" w:hAnsi="Times New Roman"/>
        </w:rPr>
        <w:t xml:space="preserve">On August 31, 2016, GWA petitioned the PUC for </w:t>
      </w:r>
      <w:r w:rsidRPr="008B6D15">
        <w:rPr>
          <w:rFonts w:ascii="Times New Roman" w:hAnsi="Times New Roman"/>
        </w:rPr>
        <w:t>approval of a $</w:t>
      </w:r>
      <w:r>
        <w:rPr>
          <w:rFonts w:ascii="Times New Roman" w:hAnsi="Times New Roman"/>
        </w:rPr>
        <w:t>4</w:t>
      </w:r>
      <w:r w:rsidRPr="008B6D15">
        <w:rPr>
          <w:rFonts w:ascii="Times New Roman" w:hAnsi="Times New Roman"/>
        </w:rPr>
        <w:t>,</w:t>
      </w:r>
      <w:r>
        <w:rPr>
          <w:rFonts w:ascii="Times New Roman" w:hAnsi="Times New Roman"/>
        </w:rPr>
        <w:t>059</w:t>
      </w:r>
      <w:r w:rsidRPr="008B6D15">
        <w:rPr>
          <w:rFonts w:ascii="Times New Roman" w:hAnsi="Times New Roman"/>
        </w:rPr>
        <w:t>,</w:t>
      </w:r>
      <w:r>
        <w:rPr>
          <w:rFonts w:ascii="Times New Roman" w:hAnsi="Times New Roman"/>
        </w:rPr>
        <w:t>877</w:t>
      </w:r>
      <w:r w:rsidRPr="008B6D15">
        <w:rPr>
          <w:rFonts w:ascii="Times New Roman" w:hAnsi="Times New Roman"/>
        </w:rPr>
        <w:t xml:space="preserve"> increase in the Program Management Office (“PMO”) contract with Brown &amp; Caldwell</w:t>
      </w:r>
      <w:r>
        <w:rPr>
          <w:rFonts w:ascii="Times New Roman" w:hAnsi="Times New Roman"/>
        </w:rPr>
        <w:t xml:space="preserve">, specifically Amendment No. 6.  </w:t>
      </w:r>
      <w:r w:rsidRPr="0064776B">
        <w:rPr>
          <w:rFonts w:ascii="Times New Roman" w:hAnsi="Times New Roman"/>
        </w:rPr>
        <w:t>In its Petition, GWA maintain</w:t>
      </w:r>
      <w:r>
        <w:rPr>
          <w:rFonts w:ascii="Times New Roman" w:hAnsi="Times New Roman"/>
        </w:rPr>
        <w:t>ed</w:t>
      </w:r>
      <w:r w:rsidRPr="0064776B">
        <w:rPr>
          <w:rFonts w:ascii="Times New Roman" w:hAnsi="Times New Roman"/>
        </w:rPr>
        <w:t xml:space="preserve"> that it “continues to need significant assistance relative to compliance with the November 2011 Court Order (“Court Order”), for matters contained in the Stipulation attached to PUC’s Order approving GWA’s 5-year rate plan covering FY2013-FY2018, SRF project management, Project Management Services for the </w:t>
      </w:r>
      <w:proofErr w:type="spellStart"/>
      <w:r w:rsidRPr="0064776B">
        <w:rPr>
          <w:rFonts w:ascii="Times New Roman" w:hAnsi="Times New Roman"/>
        </w:rPr>
        <w:t>Umatac-Merizo</w:t>
      </w:r>
      <w:proofErr w:type="spellEnd"/>
      <w:r w:rsidRPr="0064776B">
        <w:rPr>
          <w:rFonts w:ascii="Times New Roman" w:hAnsi="Times New Roman"/>
        </w:rPr>
        <w:t xml:space="preserve"> </w:t>
      </w:r>
      <w:proofErr w:type="spellStart"/>
      <w:r w:rsidRPr="0064776B">
        <w:rPr>
          <w:rFonts w:ascii="Times New Roman" w:hAnsi="Times New Roman"/>
        </w:rPr>
        <w:t>WWTP</w:t>
      </w:r>
      <w:proofErr w:type="spellEnd"/>
      <w:r w:rsidRPr="0064776B">
        <w:rPr>
          <w:rFonts w:ascii="Times New Roman" w:hAnsi="Times New Roman"/>
        </w:rPr>
        <w:t xml:space="preserve"> Upgrade, analysis and planning to improve Ground Water Production Well meter replacement among others . . . .”</w:t>
      </w:r>
      <w:r w:rsidRPr="0064776B">
        <w:rPr>
          <w:rStyle w:val="FootnoteReference"/>
          <w:rFonts w:ascii="Times New Roman" w:hAnsi="Times New Roman"/>
        </w:rPr>
        <w:footnoteReference w:id="1"/>
      </w:r>
      <w:r w:rsidRPr="0064776B">
        <w:rPr>
          <w:rFonts w:ascii="Times New Roman" w:hAnsi="Times New Roman"/>
        </w:rPr>
        <w:t xml:space="preserve">  Based on this need</w:t>
      </w:r>
      <w:r>
        <w:rPr>
          <w:rFonts w:ascii="Times New Roman" w:hAnsi="Times New Roman"/>
        </w:rPr>
        <w:t>, GWA sought</w:t>
      </w:r>
      <w:r w:rsidRPr="0064776B">
        <w:rPr>
          <w:rFonts w:ascii="Times New Roman" w:hAnsi="Times New Roman"/>
        </w:rPr>
        <w:t xml:space="preserve"> PUC approval to increase the existing contract value with the PMO by $4,059,877</w:t>
      </w:r>
      <w:r>
        <w:rPr>
          <w:rFonts w:ascii="Times New Roman" w:hAnsi="Times New Roman"/>
        </w:rPr>
        <w:t>.00</w:t>
      </w:r>
      <w:r w:rsidRPr="0064776B">
        <w:rPr>
          <w:rFonts w:ascii="Times New Roman" w:hAnsi="Times New Roman"/>
        </w:rPr>
        <w:t xml:space="preserve"> for services described in the </w:t>
      </w:r>
      <w:r w:rsidRPr="0064776B">
        <w:rPr>
          <w:rFonts w:ascii="Times New Roman" w:hAnsi="Times New Roman"/>
        </w:rPr>
        <w:lastRenderedPageBreak/>
        <w:t>Petition.</w:t>
      </w:r>
      <w:r w:rsidRPr="0064776B">
        <w:rPr>
          <w:rStyle w:val="FootnoteReference"/>
          <w:rFonts w:ascii="Times New Roman" w:hAnsi="Times New Roman"/>
        </w:rPr>
        <w:footnoteReference w:id="2"/>
      </w:r>
      <w:r>
        <w:rPr>
          <w:rFonts w:ascii="Times New Roman" w:hAnsi="Times New Roman"/>
        </w:rPr>
        <w:t xml:space="preserve">  In addition, </w:t>
      </w:r>
      <w:r w:rsidRPr="0064776B">
        <w:rPr>
          <w:rFonts w:ascii="Times New Roman" w:hAnsi="Times New Roman"/>
        </w:rPr>
        <w:t xml:space="preserve">GWA </w:t>
      </w:r>
      <w:r>
        <w:rPr>
          <w:rFonts w:ascii="Times New Roman" w:hAnsi="Times New Roman"/>
        </w:rPr>
        <w:t>expressed that it wa</w:t>
      </w:r>
      <w:r w:rsidRPr="0064776B">
        <w:rPr>
          <w:rFonts w:ascii="Times New Roman" w:hAnsi="Times New Roman"/>
        </w:rPr>
        <w:t xml:space="preserve">s </w:t>
      </w:r>
      <w:r>
        <w:rPr>
          <w:rFonts w:ascii="Times New Roman" w:hAnsi="Times New Roman"/>
        </w:rPr>
        <w:t>developing</w:t>
      </w:r>
      <w:r w:rsidRPr="0064776B">
        <w:rPr>
          <w:rFonts w:ascii="Times New Roman" w:hAnsi="Times New Roman"/>
        </w:rPr>
        <w:t xml:space="preserve"> a transition plan to reduce GWA’s reliance on PMO management assistanc</w:t>
      </w:r>
      <w:r>
        <w:rPr>
          <w:rFonts w:ascii="Times New Roman" w:hAnsi="Times New Roman"/>
        </w:rPr>
        <w:t>e that would</w:t>
      </w:r>
      <w:r w:rsidRPr="0064776B">
        <w:rPr>
          <w:rFonts w:ascii="Times New Roman" w:hAnsi="Times New Roman"/>
        </w:rPr>
        <w:t xml:space="preserve"> detail the manner and timing of certain PMO services and activities that will be assumed by GWA staff.</w:t>
      </w:r>
      <w:r w:rsidRPr="0064776B">
        <w:rPr>
          <w:rStyle w:val="FootnoteReference"/>
          <w:rFonts w:ascii="Times New Roman" w:hAnsi="Times New Roman"/>
        </w:rPr>
        <w:footnoteReference w:id="3"/>
      </w:r>
      <w:r w:rsidRPr="0064776B">
        <w:rPr>
          <w:rFonts w:ascii="Times New Roman" w:hAnsi="Times New Roman"/>
        </w:rPr>
        <w:t xml:space="preserve"> </w:t>
      </w:r>
    </w:p>
    <w:p w:rsidR="001D0F01" w:rsidRDefault="00F67F64" w:rsidP="00F67F64">
      <w:pPr>
        <w:spacing w:line="480" w:lineRule="auto"/>
        <w:ind w:firstLine="1440"/>
        <w:jc w:val="both"/>
        <w:rPr>
          <w:rFonts w:ascii="Times New Roman" w:hAnsi="Times New Roman"/>
          <w:b/>
        </w:rPr>
      </w:pPr>
      <w:r>
        <w:rPr>
          <w:rFonts w:ascii="Times New Roman" w:hAnsi="Times New Roman"/>
        </w:rPr>
        <w:t xml:space="preserve">On September 29, 2016, the PUC approved GWA’s </w:t>
      </w:r>
      <w:r>
        <w:rPr>
          <w:rFonts w:ascii="Times New Roman" w:eastAsia="Times New Roman" w:hAnsi="Times New Roman"/>
        </w:rPr>
        <w:t>August 31, 2016 p</w:t>
      </w:r>
      <w:r w:rsidRPr="00787A3E">
        <w:rPr>
          <w:rFonts w:ascii="Times New Roman" w:eastAsia="Times New Roman" w:hAnsi="Times New Roman"/>
        </w:rPr>
        <w:t xml:space="preserve">etition for </w:t>
      </w:r>
      <w:r>
        <w:rPr>
          <w:rFonts w:ascii="Times New Roman" w:eastAsia="Times New Roman" w:hAnsi="Times New Roman"/>
        </w:rPr>
        <w:t>approval of Amendment Number Six to the PMO</w:t>
      </w:r>
      <w:r w:rsidRPr="00787A3E">
        <w:rPr>
          <w:rFonts w:ascii="Times New Roman" w:eastAsia="Times New Roman" w:hAnsi="Times New Roman"/>
        </w:rPr>
        <w:t xml:space="preserve"> contract with </w:t>
      </w:r>
      <w:r>
        <w:rPr>
          <w:rFonts w:ascii="Times New Roman" w:eastAsia="Times New Roman" w:hAnsi="Times New Roman"/>
        </w:rPr>
        <w:t xml:space="preserve">Brown &amp; Caldwell.  However, the PUC only authorized an increase of an amount not to exceed half of </w:t>
      </w:r>
      <w:r w:rsidRPr="00DE3B47">
        <w:rPr>
          <w:rFonts w:ascii="Times New Roman" w:eastAsia="Times New Roman" w:hAnsi="Times New Roman"/>
        </w:rPr>
        <w:t>$</w:t>
      </w:r>
      <w:r w:rsidRPr="00BA709D">
        <w:rPr>
          <w:rFonts w:ascii="Times New Roman" w:eastAsia="Times New Roman" w:hAnsi="Times New Roman"/>
        </w:rPr>
        <w:t>4,059,877.00</w:t>
      </w:r>
      <w:r>
        <w:rPr>
          <w:rFonts w:ascii="Times New Roman" w:eastAsia="Times New Roman" w:hAnsi="Times New Roman"/>
        </w:rPr>
        <w:t xml:space="preserve"> (or $2,029,938.50), and that approval of the remaining half would be considered upon GWA’s submission of a transition plan by December 31, 2016, which plan would address GWA’s current and future efforts to reduce </w:t>
      </w:r>
      <w:r>
        <w:rPr>
          <w:rFonts w:ascii="Times New Roman" w:hAnsi="Times New Roman"/>
        </w:rPr>
        <w:t>its</w:t>
      </w:r>
      <w:r w:rsidRPr="0064776B">
        <w:rPr>
          <w:rFonts w:ascii="Times New Roman" w:hAnsi="Times New Roman"/>
        </w:rPr>
        <w:t xml:space="preserve"> reliance on PMO </w:t>
      </w:r>
      <w:r>
        <w:rPr>
          <w:rFonts w:ascii="Times New Roman" w:hAnsi="Times New Roman"/>
        </w:rPr>
        <w:t>services</w:t>
      </w:r>
      <w:r w:rsidRPr="00787A3E">
        <w:rPr>
          <w:rFonts w:ascii="Times New Roman" w:eastAsia="Times New Roman" w:hAnsi="Times New Roman"/>
        </w:rPr>
        <w:t>.</w:t>
      </w:r>
      <w:r>
        <w:rPr>
          <w:rFonts w:ascii="Times New Roman" w:eastAsia="Times New Roman" w:hAnsi="Times New Roman"/>
        </w:rPr>
        <w:t xml:space="preserve">  On December 29, 2016, GWA filed its PMO Transition Plan</w:t>
      </w:r>
      <w:r w:rsidR="005F1BA2">
        <w:rPr>
          <w:rFonts w:ascii="Times New Roman" w:eastAsia="Times New Roman" w:hAnsi="Times New Roman"/>
        </w:rPr>
        <w:t xml:space="preserve"> (“Transition Plan”</w:t>
      </w:r>
      <w:r w:rsidR="001F7F0E">
        <w:rPr>
          <w:rFonts w:ascii="Times New Roman" w:eastAsia="Times New Roman" w:hAnsi="Times New Roman"/>
        </w:rPr>
        <w:t xml:space="preserve"> or “Report”</w:t>
      </w:r>
      <w:r w:rsidR="005F1BA2">
        <w:rPr>
          <w:rFonts w:ascii="Times New Roman" w:eastAsia="Times New Roman" w:hAnsi="Times New Roman"/>
        </w:rPr>
        <w:t>)</w:t>
      </w:r>
      <w:r>
        <w:rPr>
          <w:rFonts w:ascii="Times New Roman" w:eastAsia="Times New Roman" w:hAnsi="Times New Roman"/>
        </w:rPr>
        <w:t>.</w:t>
      </w:r>
      <w:r w:rsidR="00AF0EA9">
        <w:rPr>
          <w:rFonts w:ascii="Times New Roman" w:eastAsia="Times New Roman" w:hAnsi="Times New Roman"/>
        </w:rPr>
        <w:t xml:space="preserve">  On January 24, 2017 the Administrative Law Judge of the PUC, Joephet R. Alcantara, (the “</w:t>
      </w:r>
      <w:proofErr w:type="spellStart"/>
      <w:r w:rsidR="00AF0EA9">
        <w:rPr>
          <w:rFonts w:ascii="Times New Roman" w:eastAsia="Times New Roman" w:hAnsi="Times New Roman"/>
        </w:rPr>
        <w:t>ALJ</w:t>
      </w:r>
      <w:proofErr w:type="spellEnd"/>
      <w:r w:rsidR="00AF0EA9">
        <w:rPr>
          <w:rFonts w:ascii="Times New Roman" w:eastAsia="Times New Roman" w:hAnsi="Times New Roman"/>
        </w:rPr>
        <w:t xml:space="preserve">”) filed an </w:t>
      </w:r>
      <w:proofErr w:type="spellStart"/>
      <w:r w:rsidR="00AF0EA9">
        <w:rPr>
          <w:rFonts w:ascii="Times New Roman" w:eastAsia="Times New Roman" w:hAnsi="Times New Roman"/>
        </w:rPr>
        <w:t>ALJ</w:t>
      </w:r>
      <w:proofErr w:type="spellEnd"/>
      <w:r w:rsidR="00AF0EA9">
        <w:rPr>
          <w:rFonts w:ascii="Times New Roman" w:eastAsia="Times New Roman" w:hAnsi="Times New Roman"/>
        </w:rPr>
        <w:t xml:space="preserve"> Report regarding the instant Petition, which included his findings and recommendations based on the administrative record before the PUC.  The </w:t>
      </w:r>
      <w:proofErr w:type="spellStart"/>
      <w:r w:rsidR="00AF0EA9">
        <w:rPr>
          <w:rFonts w:ascii="Times New Roman" w:eastAsia="Times New Roman" w:hAnsi="Times New Roman"/>
        </w:rPr>
        <w:t>ALJ</w:t>
      </w:r>
      <w:proofErr w:type="spellEnd"/>
      <w:r w:rsidR="00AF0EA9">
        <w:rPr>
          <w:rFonts w:ascii="Times New Roman" w:eastAsia="Times New Roman" w:hAnsi="Times New Roman"/>
        </w:rPr>
        <w:t xml:space="preserve"> found the following.</w:t>
      </w:r>
    </w:p>
    <w:p w:rsidR="007B0DBF" w:rsidRPr="007B0DBF" w:rsidRDefault="001D0F01" w:rsidP="00BA709D">
      <w:pPr>
        <w:spacing w:line="480" w:lineRule="auto"/>
        <w:ind w:firstLine="720"/>
        <w:jc w:val="both"/>
        <w:rPr>
          <w:rFonts w:ascii="Times New Roman" w:hAnsi="Times New Roman"/>
          <w:b/>
          <w:u w:val="single"/>
        </w:rPr>
      </w:pPr>
      <w:r>
        <w:rPr>
          <w:rFonts w:ascii="Times New Roman" w:hAnsi="Times New Roman"/>
          <w:b/>
        </w:rPr>
        <w:t>B</w:t>
      </w:r>
      <w:r w:rsidR="007B0DBF">
        <w:rPr>
          <w:rFonts w:ascii="Times New Roman" w:hAnsi="Times New Roman"/>
          <w:b/>
        </w:rPr>
        <w:t>.</w:t>
      </w:r>
      <w:r w:rsidR="007B0DBF">
        <w:rPr>
          <w:rFonts w:ascii="Times New Roman" w:hAnsi="Times New Roman"/>
          <w:b/>
        </w:rPr>
        <w:tab/>
      </w:r>
      <w:r w:rsidR="007B0DBF" w:rsidRPr="007B0DBF">
        <w:rPr>
          <w:rFonts w:ascii="Times New Roman" w:hAnsi="Times New Roman"/>
          <w:b/>
          <w:u w:val="single"/>
        </w:rPr>
        <w:t xml:space="preserve">Review of </w:t>
      </w:r>
      <w:r w:rsidR="007B0DBF">
        <w:rPr>
          <w:rFonts w:ascii="Times New Roman" w:hAnsi="Times New Roman"/>
          <w:b/>
          <w:u w:val="single"/>
        </w:rPr>
        <w:t xml:space="preserve">GWA’s </w:t>
      </w:r>
      <w:r w:rsidR="007B0DBF" w:rsidRPr="007B0DBF">
        <w:rPr>
          <w:rFonts w:ascii="Times New Roman" w:hAnsi="Times New Roman"/>
          <w:b/>
          <w:u w:val="single"/>
        </w:rPr>
        <w:t>PMO Contract</w:t>
      </w:r>
    </w:p>
    <w:p w:rsidR="00010D9F" w:rsidRPr="0064776B" w:rsidRDefault="007B0DBF" w:rsidP="00BB3438">
      <w:pPr>
        <w:spacing w:line="480" w:lineRule="auto"/>
        <w:ind w:firstLine="1440"/>
        <w:jc w:val="both"/>
        <w:rPr>
          <w:rFonts w:ascii="Times New Roman" w:hAnsi="Times New Roman"/>
        </w:rPr>
      </w:pPr>
      <w:r w:rsidRPr="00D94270">
        <w:rPr>
          <w:rFonts w:ascii="Times New Roman" w:hAnsi="Times New Roman"/>
        </w:rPr>
        <w:t xml:space="preserve">Pursuant to 12 </w:t>
      </w:r>
      <w:proofErr w:type="spellStart"/>
      <w:r w:rsidRPr="00D94270">
        <w:rPr>
          <w:rFonts w:ascii="Times New Roman" w:hAnsi="Times New Roman"/>
        </w:rPr>
        <w:t>G.C.A.</w:t>
      </w:r>
      <w:proofErr w:type="spellEnd"/>
      <w:r w:rsidRPr="00D94270">
        <w:rPr>
          <w:rFonts w:ascii="Times New Roman" w:hAnsi="Times New Roman"/>
        </w:rPr>
        <w:t xml:space="preserve"> §12</w:t>
      </w:r>
      <w:r w:rsidR="001F7F0E">
        <w:rPr>
          <w:rFonts w:ascii="Times New Roman" w:hAnsi="Times New Roman"/>
        </w:rPr>
        <w:t>105</w:t>
      </w:r>
      <w:r w:rsidRPr="00D94270">
        <w:rPr>
          <w:rFonts w:ascii="Times New Roman" w:hAnsi="Times New Roman"/>
        </w:rPr>
        <w:t>,</w:t>
      </w:r>
      <w:r w:rsidR="00D9420A">
        <w:rPr>
          <w:rStyle w:val="FootnoteReference"/>
          <w:rFonts w:ascii="Times New Roman" w:hAnsi="Times New Roman"/>
        </w:rPr>
        <w:footnoteReference w:id="4"/>
      </w:r>
      <w:r w:rsidRPr="00D94270">
        <w:rPr>
          <w:rFonts w:ascii="Times New Roman" w:hAnsi="Times New Roman"/>
        </w:rPr>
        <w:t xml:space="preserve"> </w:t>
      </w:r>
      <w:proofErr w:type="spellStart"/>
      <w:r w:rsidRPr="00D94270">
        <w:rPr>
          <w:rFonts w:ascii="Times New Roman" w:hAnsi="Times New Roman"/>
        </w:rPr>
        <w:t>GWA</w:t>
      </w:r>
      <w:proofErr w:type="spellEnd"/>
      <w:r w:rsidRPr="00D94270">
        <w:rPr>
          <w:rFonts w:ascii="Times New Roman" w:hAnsi="Times New Roman"/>
        </w:rPr>
        <w:t xml:space="preserve"> may not enter into any contractual agreements or obligations which could increase rates and charges without the PUC’s express approval.  Additionally, pursuant to GWA’s Contract Review Protocol issued in Administrative Docket 00-04, “[a]</w:t>
      </w:r>
      <w:proofErr w:type="spellStart"/>
      <w:r w:rsidRPr="00D94270">
        <w:rPr>
          <w:rFonts w:ascii="Times New Roman" w:hAnsi="Times New Roman"/>
        </w:rPr>
        <w:t>ll</w:t>
      </w:r>
      <w:proofErr w:type="spellEnd"/>
      <w:r w:rsidRPr="00D94270">
        <w:rPr>
          <w:rFonts w:ascii="Times New Roman" w:hAnsi="Times New Roman"/>
        </w:rPr>
        <w:t xml:space="preserve"> professional service procurements in excess of $1,000,000” require “prior PUC approval under 12 G.C.A. §12004, which shall be </w:t>
      </w:r>
      <w:r w:rsidRPr="00D94270">
        <w:rPr>
          <w:rFonts w:ascii="Times New Roman" w:hAnsi="Times New Roman"/>
        </w:rPr>
        <w:lastRenderedPageBreak/>
        <w:t>obtained before the proc</w:t>
      </w:r>
      <w:r w:rsidRPr="00DD1A6D">
        <w:rPr>
          <w:rFonts w:ascii="Times New Roman" w:hAnsi="Times New Roman"/>
        </w:rPr>
        <w:t>urement process is begun . . .</w:t>
      </w:r>
      <w:r w:rsidRPr="00D94270">
        <w:rPr>
          <w:rFonts w:ascii="Times New Roman" w:hAnsi="Times New Roman"/>
        </w:rPr>
        <w:t xml:space="preserve"> .”</w:t>
      </w:r>
      <w:r w:rsidRPr="00D94270">
        <w:rPr>
          <w:rFonts w:ascii="Times New Roman" w:hAnsi="Times New Roman"/>
          <w:vertAlign w:val="superscript"/>
        </w:rPr>
        <w:footnoteReference w:id="5"/>
      </w:r>
      <w:r w:rsidRPr="00D94270">
        <w:rPr>
          <w:rFonts w:ascii="Times New Roman" w:hAnsi="Times New Roman"/>
        </w:rPr>
        <w:t xml:space="preserve">  GWA must also seek PUC</w:t>
      </w:r>
      <w:r w:rsidR="00094A90">
        <w:rPr>
          <w:rFonts w:ascii="Times New Roman" w:hAnsi="Times New Roman"/>
        </w:rPr>
        <w:t>’s</w:t>
      </w:r>
      <w:r w:rsidRPr="00D94270">
        <w:rPr>
          <w:rFonts w:ascii="Times New Roman" w:hAnsi="Times New Roman"/>
        </w:rPr>
        <w:t xml:space="preserve"> approval for any uses of bond funds.</w:t>
      </w:r>
      <w:r w:rsidRPr="00D94270">
        <w:rPr>
          <w:rFonts w:ascii="Times New Roman" w:hAnsi="Times New Roman"/>
          <w:vertAlign w:val="superscript"/>
        </w:rPr>
        <w:footnoteReference w:id="6"/>
      </w:r>
      <w:r w:rsidRPr="00D94270">
        <w:rPr>
          <w:rFonts w:ascii="Times New Roman" w:hAnsi="Times New Roman"/>
        </w:rPr>
        <w:t xml:space="preserve">  </w:t>
      </w:r>
    </w:p>
    <w:p w:rsidR="009C45CC" w:rsidRDefault="00E94C7A" w:rsidP="009C45CC">
      <w:pPr>
        <w:spacing w:line="480" w:lineRule="auto"/>
        <w:ind w:firstLine="720"/>
        <w:jc w:val="both"/>
        <w:rPr>
          <w:rFonts w:ascii="Times New Roman" w:eastAsia="Times New Roman" w:hAnsi="Times New Roman"/>
        </w:rPr>
      </w:pPr>
      <w:r>
        <w:rPr>
          <w:rFonts w:ascii="Times New Roman" w:eastAsia="Times New Roman" w:hAnsi="Times New Roman"/>
        </w:rPr>
        <w:tab/>
      </w:r>
      <w:r w:rsidR="009C45CC">
        <w:rPr>
          <w:rFonts w:ascii="Times New Roman" w:eastAsia="Times New Roman" w:hAnsi="Times New Roman"/>
        </w:rPr>
        <w:t>According to</w:t>
      </w:r>
      <w:r w:rsidR="00FC695E">
        <w:rPr>
          <w:rFonts w:ascii="Times New Roman" w:eastAsia="Times New Roman" w:hAnsi="Times New Roman"/>
        </w:rPr>
        <w:t xml:space="preserve"> </w:t>
      </w:r>
      <w:r w:rsidR="009C45CC">
        <w:rPr>
          <w:rFonts w:ascii="Times New Roman" w:eastAsia="Times New Roman" w:hAnsi="Times New Roman"/>
        </w:rPr>
        <w:t>the Transition Plan, t</w:t>
      </w:r>
      <w:r w:rsidR="009C45CC" w:rsidRPr="009C45CC">
        <w:rPr>
          <w:rFonts w:ascii="Times New Roman" w:eastAsia="Times New Roman" w:hAnsi="Times New Roman"/>
        </w:rPr>
        <w:t>he PMO presently assists GWA primarily with capital improvement projects (“CIP”) planning, execution of these projects, support with compliance efforts, operations support, and certain special projects.</w:t>
      </w:r>
      <w:r w:rsidR="001F7F0E">
        <w:rPr>
          <w:rStyle w:val="FootnoteReference"/>
          <w:rFonts w:ascii="Times New Roman" w:eastAsia="Times New Roman" w:hAnsi="Times New Roman"/>
        </w:rPr>
        <w:footnoteReference w:id="7"/>
      </w:r>
      <w:r w:rsidR="009C45CC">
        <w:rPr>
          <w:rFonts w:ascii="Times New Roman" w:eastAsia="Times New Roman" w:hAnsi="Times New Roman"/>
        </w:rPr>
        <w:t xml:space="preserve">  </w:t>
      </w:r>
      <w:proofErr w:type="spellStart"/>
      <w:r w:rsidR="009C45CC" w:rsidRPr="009C45CC">
        <w:rPr>
          <w:rFonts w:ascii="Times New Roman" w:eastAsia="Times New Roman" w:hAnsi="Times New Roman"/>
        </w:rPr>
        <w:t>GWA</w:t>
      </w:r>
      <w:proofErr w:type="spellEnd"/>
      <w:r w:rsidR="009C45CC" w:rsidRPr="009C45CC">
        <w:rPr>
          <w:rFonts w:ascii="Times New Roman" w:eastAsia="Times New Roman" w:hAnsi="Times New Roman"/>
        </w:rPr>
        <w:t xml:space="preserve"> has consistently maintained that “[t]he time element for both the court order projects, and the expiration of grant funding that would otherwise require ratepayer revenue, have created a CIP workload which cannot be described as ‘ordinary’ nor managed using normal staffing.”</w:t>
      </w:r>
      <w:r w:rsidR="001F7F0E">
        <w:rPr>
          <w:rStyle w:val="FootnoteReference"/>
          <w:rFonts w:ascii="Times New Roman" w:eastAsia="Times New Roman" w:hAnsi="Times New Roman"/>
        </w:rPr>
        <w:footnoteReference w:id="8"/>
      </w:r>
      <w:r w:rsidR="009C45CC" w:rsidRPr="009C45CC">
        <w:rPr>
          <w:rFonts w:ascii="Times New Roman" w:eastAsia="Times New Roman" w:hAnsi="Times New Roman"/>
        </w:rPr>
        <w:t xml:space="preserve">  In addition, </w:t>
      </w:r>
      <w:proofErr w:type="spellStart"/>
      <w:r w:rsidR="009C45CC" w:rsidRPr="009C45CC">
        <w:rPr>
          <w:rFonts w:ascii="Times New Roman" w:eastAsia="Times New Roman" w:hAnsi="Times New Roman"/>
        </w:rPr>
        <w:t>GWA</w:t>
      </w:r>
      <w:proofErr w:type="spellEnd"/>
      <w:r w:rsidR="009C45CC" w:rsidRPr="009C45CC">
        <w:rPr>
          <w:rFonts w:ascii="Times New Roman" w:eastAsia="Times New Roman" w:hAnsi="Times New Roman"/>
        </w:rPr>
        <w:t xml:space="preserve"> further maintain</w:t>
      </w:r>
      <w:r w:rsidR="00AF0EA9">
        <w:rPr>
          <w:rFonts w:ascii="Times New Roman" w:eastAsia="Times New Roman" w:hAnsi="Times New Roman"/>
        </w:rPr>
        <w:t>ed</w:t>
      </w:r>
      <w:r w:rsidR="009C45CC" w:rsidRPr="009C45CC">
        <w:rPr>
          <w:rFonts w:ascii="Times New Roman" w:eastAsia="Times New Roman" w:hAnsi="Times New Roman"/>
        </w:rPr>
        <w:t xml:space="preserve"> that the agency struggles with “attracting and maintaining qualified personnel in key operational and technical positions.”</w:t>
      </w:r>
      <w:r w:rsidR="001F7F0E">
        <w:rPr>
          <w:rStyle w:val="FootnoteReference"/>
          <w:rFonts w:ascii="Times New Roman" w:eastAsia="Times New Roman" w:hAnsi="Times New Roman"/>
        </w:rPr>
        <w:footnoteReference w:id="9"/>
      </w:r>
    </w:p>
    <w:p w:rsidR="009C45CC" w:rsidRPr="009C45CC" w:rsidRDefault="009C45CC" w:rsidP="009C45CC">
      <w:pPr>
        <w:spacing w:line="480" w:lineRule="auto"/>
        <w:ind w:firstLine="720"/>
        <w:jc w:val="both"/>
        <w:rPr>
          <w:rFonts w:ascii="Times New Roman" w:eastAsia="Times New Roman" w:hAnsi="Times New Roman"/>
        </w:rPr>
      </w:pPr>
      <w:r>
        <w:rPr>
          <w:rFonts w:ascii="Times New Roman" w:eastAsia="Times New Roman" w:hAnsi="Times New Roman"/>
        </w:rPr>
        <w:tab/>
      </w:r>
      <w:proofErr w:type="spellStart"/>
      <w:r w:rsidRPr="009C45CC">
        <w:rPr>
          <w:rFonts w:ascii="Times New Roman" w:eastAsia="Times New Roman" w:hAnsi="Times New Roman"/>
        </w:rPr>
        <w:t>GWA</w:t>
      </w:r>
      <w:proofErr w:type="spellEnd"/>
      <w:r w:rsidRPr="009C45CC">
        <w:rPr>
          <w:rFonts w:ascii="Times New Roman" w:eastAsia="Times New Roman" w:hAnsi="Times New Roman"/>
        </w:rPr>
        <w:t xml:space="preserve"> submit</w:t>
      </w:r>
      <w:r w:rsidR="00AF0EA9">
        <w:rPr>
          <w:rFonts w:ascii="Times New Roman" w:eastAsia="Times New Roman" w:hAnsi="Times New Roman"/>
        </w:rPr>
        <w:t>ted</w:t>
      </w:r>
      <w:r w:rsidRPr="009C45CC">
        <w:rPr>
          <w:rFonts w:ascii="Times New Roman" w:eastAsia="Times New Roman" w:hAnsi="Times New Roman"/>
        </w:rPr>
        <w:t xml:space="preserve"> that with the PMO’s assistance, GWA has completed eighty-two percent (82%) of its court-ordered projects.  However, </w:t>
      </w:r>
      <w:proofErr w:type="spellStart"/>
      <w:r w:rsidRPr="009C45CC">
        <w:rPr>
          <w:rFonts w:ascii="Times New Roman" w:eastAsia="Times New Roman" w:hAnsi="Times New Roman"/>
        </w:rPr>
        <w:t>GWA</w:t>
      </w:r>
      <w:proofErr w:type="spellEnd"/>
      <w:r w:rsidRPr="009C45CC">
        <w:rPr>
          <w:rFonts w:ascii="Times New Roman" w:eastAsia="Times New Roman" w:hAnsi="Times New Roman"/>
        </w:rPr>
        <w:t xml:space="preserve"> maintain</w:t>
      </w:r>
      <w:r w:rsidR="00AF0EA9">
        <w:rPr>
          <w:rFonts w:ascii="Times New Roman" w:eastAsia="Times New Roman" w:hAnsi="Times New Roman"/>
        </w:rPr>
        <w:t>ed</w:t>
      </w:r>
      <w:r w:rsidRPr="009C45CC">
        <w:rPr>
          <w:rFonts w:ascii="Times New Roman" w:eastAsia="Times New Roman" w:hAnsi="Times New Roman"/>
        </w:rPr>
        <w:t xml:space="preserve"> that the outstanding eighteen percent, which is composed of sixteen (16) outstanding items, requires “significant effort and resources to complete.”</w:t>
      </w:r>
      <w:r w:rsidR="00DD33EF">
        <w:rPr>
          <w:rStyle w:val="FootnoteReference"/>
          <w:rFonts w:ascii="Times New Roman" w:eastAsia="Times New Roman" w:hAnsi="Times New Roman"/>
        </w:rPr>
        <w:footnoteReference w:id="10"/>
      </w:r>
    </w:p>
    <w:p w:rsidR="00B06EDC" w:rsidRPr="00614151" w:rsidRDefault="00CE182E" w:rsidP="000674FC">
      <w:pPr>
        <w:spacing w:line="480" w:lineRule="auto"/>
        <w:ind w:firstLine="720"/>
        <w:jc w:val="both"/>
        <w:rPr>
          <w:rFonts w:ascii="Times New Roman" w:eastAsia="Times New Roman" w:hAnsi="Times New Roman"/>
          <w:b/>
          <w:u w:val="single"/>
        </w:rPr>
      </w:pPr>
      <w:r>
        <w:rPr>
          <w:rFonts w:ascii="Times New Roman" w:eastAsia="Times New Roman" w:hAnsi="Times New Roman"/>
          <w:b/>
        </w:rPr>
        <w:t>A</w:t>
      </w:r>
      <w:r w:rsidR="00B06EDC" w:rsidRPr="00595906">
        <w:rPr>
          <w:rFonts w:ascii="Times New Roman" w:eastAsia="Times New Roman" w:hAnsi="Times New Roman"/>
          <w:b/>
        </w:rPr>
        <w:t>.</w:t>
      </w:r>
      <w:r w:rsidR="00B06EDC" w:rsidRPr="00595906">
        <w:rPr>
          <w:rFonts w:ascii="Times New Roman" w:eastAsia="Times New Roman" w:hAnsi="Times New Roman"/>
          <w:b/>
        </w:rPr>
        <w:tab/>
      </w:r>
      <w:r>
        <w:rPr>
          <w:rFonts w:ascii="Times New Roman" w:eastAsia="Times New Roman" w:hAnsi="Times New Roman"/>
          <w:b/>
          <w:u w:val="single"/>
        </w:rPr>
        <w:t>Notable Progress</w:t>
      </w:r>
    </w:p>
    <w:p w:rsidR="00CE182E" w:rsidRPr="00CE182E" w:rsidRDefault="00B06EDC" w:rsidP="000674FC">
      <w:pPr>
        <w:spacing w:line="480" w:lineRule="auto"/>
        <w:ind w:firstLine="720"/>
        <w:jc w:val="both"/>
        <w:rPr>
          <w:rFonts w:ascii="Times New Roman" w:eastAsia="Times New Roman" w:hAnsi="Times New Roman"/>
        </w:rPr>
      </w:pPr>
      <w:r>
        <w:rPr>
          <w:rFonts w:ascii="Times New Roman" w:eastAsia="Times New Roman" w:hAnsi="Times New Roman"/>
        </w:rPr>
        <w:tab/>
      </w:r>
      <w:r w:rsidR="00CE182E" w:rsidRPr="00CE182E">
        <w:rPr>
          <w:rFonts w:ascii="Times New Roman" w:eastAsia="Times New Roman" w:hAnsi="Times New Roman"/>
        </w:rPr>
        <w:t xml:space="preserve">With the </w:t>
      </w:r>
      <w:proofErr w:type="spellStart"/>
      <w:r w:rsidR="00CE182E" w:rsidRPr="00CE182E">
        <w:rPr>
          <w:rFonts w:ascii="Times New Roman" w:eastAsia="Times New Roman" w:hAnsi="Times New Roman"/>
        </w:rPr>
        <w:t>PMO’s</w:t>
      </w:r>
      <w:proofErr w:type="spellEnd"/>
      <w:r w:rsidR="00CE182E" w:rsidRPr="00CE182E">
        <w:rPr>
          <w:rFonts w:ascii="Times New Roman" w:eastAsia="Times New Roman" w:hAnsi="Times New Roman"/>
        </w:rPr>
        <w:t xml:space="preserve"> assistance</w:t>
      </w:r>
      <w:r w:rsidR="00CE182E">
        <w:rPr>
          <w:rFonts w:ascii="Times New Roman" w:eastAsia="Times New Roman" w:hAnsi="Times New Roman"/>
        </w:rPr>
        <w:t xml:space="preserve">, </w:t>
      </w:r>
      <w:proofErr w:type="spellStart"/>
      <w:r w:rsidR="00CE182E" w:rsidRPr="00CE182E">
        <w:rPr>
          <w:rFonts w:ascii="Times New Roman" w:eastAsia="Times New Roman" w:hAnsi="Times New Roman"/>
        </w:rPr>
        <w:t>GWA</w:t>
      </w:r>
      <w:proofErr w:type="spellEnd"/>
      <w:r w:rsidR="00CE182E" w:rsidRPr="00CE182E">
        <w:rPr>
          <w:rFonts w:ascii="Times New Roman" w:eastAsia="Times New Roman" w:hAnsi="Times New Roman"/>
        </w:rPr>
        <w:t xml:space="preserve"> assure</w:t>
      </w:r>
      <w:r w:rsidR="00AF0EA9">
        <w:rPr>
          <w:rFonts w:ascii="Times New Roman" w:eastAsia="Times New Roman" w:hAnsi="Times New Roman"/>
        </w:rPr>
        <w:t>d</w:t>
      </w:r>
      <w:r w:rsidR="00CE182E" w:rsidRPr="00CE182E">
        <w:rPr>
          <w:rFonts w:ascii="Times New Roman" w:eastAsia="Times New Roman" w:hAnsi="Times New Roman"/>
        </w:rPr>
        <w:t xml:space="preserve"> the Commission that it has improved its financial performance; that it has streamlined its project implementation </w:t>
      </w:r>
      <w:r w:rsidR="00CE182E" w:rsidRPr="00CE182E">
        <w:rPr>
          <w:rFonts w:ascii="Times New Roman" w:eastAsia="Times New Roman" w:hAnsi="Times New Roman"/>
        </w:rPr>
        <w:lastRenderedPageBreak/>
        <w:t>process, thereby reducing project backlog; and has standardized its contract documents and procurement process.</w:t>
      </w:r>
      <w:r w:rsidR="00DD33EF">
        <w:rPr>
          <w:rStyle w:val="FootnoteReference"/>
          <w:rFonts w:ascii="Times New Roman" w:eastAsia="Times New Roman" w:hAnsi="Times New Roman"/>
        </w:rPr>
        <w:footnoteReference w:id="11"/>
      </w:r>
    </w:p>
    <w:p w:rsidR="00CE182E" w:rsidRPr="00CE182E" w:rsidRDefault="00CE182E" w:rsidP="00CE182E">
      <w:pPr>
        <w:spacing w:line="480" w:lineRule="auto"/>
        <w:ind w:firstLine="720"/>
        <w:jc w:val="both"/>
        <w:rPr>
          <w:rFonts w:ascii="Times New Roman" w:eastAsia="Times New Roman" w:hAnsi="Times New Roman"/>
        </w:rPr>
      </w:pPr>
      <w:r>
        <w:rPr>
          <w:rFonts w:ascii="Times New Roman" w:eastAsia="Times New Roman" w:hAnsi="Times New Roman"/>
        </w:rPr>
        <w:tab/>
      </w:r>
      <w:r w:rsidRPr="00CE182E">
        <w:rPr>
          <w:rFonts w:ascii="Times New Roman" w:eastAsia="Times New Roman" w:hAnsi="Times New Roman"/>
        </w:rPr>
        <w:t xml:space="preserve">In addition, GWA further “continues to develop staff and capabilities to address compliance issues with less reliance on the </w:t>
      </w:r>
      <w:proofErr w:type="spellStart"/>
      <w:r w:rsidRPr="00CE182E">
        <w:rPr>
          <w:rFonts w:ascii="Times New Roman" w:eastAsia="Times New Roman" w:hAnsi="Times New Roman"/>
        </w:rPr>
        <w:t>PMO</w:t>
      </w:r>
      <w:proofErr w:type="spellEnd"/>
      <w:r w:rsidRPr="00CE182E">
        <w:rPr>
          <w:rFonts w:ascii="Times New Roman" w:eastAsia="Times New Roman" w:hAnsi="Times New Roman"/>
        </w:rPr>
        <w:t>.”</w:t>
      </w:r>
      <w:r w:rsidR="00DD33EF">
        <w:rPr>
          <w:rStyle w:val="FootnoteReference"/>
          <w:rFonts w:ascii="Times New Roman" w:eastAsia="Times New Roman" w:hAnsi="Times New Roman"/>
        </w:rPr>
        <w:footnoteReference w:id="12"/>
      </w:r>
      <w:r w:rsidRPr="00CE182E">
        <w:rPr>
          <w:rFonts w:ascii="Times New Roman" w:eastAsia="Times New Roman" w:hAnsi="Times New Roman"/>
        </w:rPr>
        <w:t xml:space="preserve">  For instance, </w:t>
      </w:r>
      <w:proofErr w:type="spellStart"/>
      <w:r w:rsidRPr="00CE182E">
        <w:rPr>
          <w:rFonts w:ascii="Times New Roman" w:eastAsia="Times New Roman" w:hAnsi="Times New Roman"/>
        </w:rPr>
        <w:t>GWA</w:t>
      </w:r>
      <w:proofErr w:type="spellEnd"/>
      <w:r w:rsidRPr="00CE182E">
        <w:rPr>
          <w:rFonts w:ascii="Times New Roman" w:eastAsia="Times New Roman" w:hAnsi="Times New Roman"/>
        </w:rPr>
        <w:t xml:space="preserve"> has been directly engaging the U.S. EPA with respect to </w:t>
      </w:r>
      <w:proofErr w:type="spellStart"/>
      <w:r w:rsidRPr="00CE182E">
        <w:rPr>
          <w:rFonts w:ascii="Times New Roman" w:eastAsia="Times New Roman" w:hAnsi="Times New Roman"/>
        </w:rPr>
        <w:t>GWA’s</w:t>
      </w:r>
      <w:proofErr w:type="spellEnd"/>
      <w:r w:rsidRPr="00CE182E">
        <w:rPr>
          <w:rFonts w:ascii="Times New Roman" w:eastAsia="Times New Roman" w:hAnsi="Times New Roman"/>
        </w:rPr>
        <w:t xml:space="preserve"> progress</w:t>
      </w:r>
      <w:r w:rsidR="001F7F0E">
        <w:rPr>
          <w:rFonts w:ascii="Times New Roman" w:eastAsia="Times New Roman" w:hAnsi="Times New Roman"/>
        </w:rPr>
        <w:t xml:space="preserve"> with court ordered projects</w:t>
      </w:r>
      <w:r w:rsidRPr="00CE182E">
        <w:rPr>
          <w:rFonts w:ascii="Times New Roman" w:eastAsia="Times New Roman" w:hAnsi="Times New Roman"/>
        </w:rPr>
        <w:t>.</w:t>
      </w:r>
      <w:r w:rsidR="00DD33EF">
        <w:rPr>
          <w:rStyle w:val="FootnoteReference"/>
          <w:rFonts w:ascii="Times New Roman" w:eastAsia="Times New Roman" w:hAnsi="Times New Roman"/>
        </w:rPr>
        <w:footnoteReference w:id="13"/>
      </w:r>
      <w:r w:rsidRPr="00CE182E">
        <w:rPr>
          <w:rFonts w:ascii="Times New Roman" w:eastAsia="Times New Roman" w:hAnsi="Times New Roman"/>
        </w:rPr>
        <w:t xml:space="preserve">  In addition, </w:t>
      </w:r>
      <w:proofErr w:type="spellStart"/>
      <w:r w:rsidRPr="00CE182E">
        <w:rPr>
          <w:rFonts w:ascii="Times New Roman" w:eastAsia="Times New Roman" w:hAnsi="Times New Roman"/>
        </w:rPr>
        <w:t>GWA</w:t>
      </w:r>
      <w:proofErr w:type="spellEnd"/>
      <w:r w:rsidRPr="00CE182E">
        <w:rPr>
          <w:rFonts w:ascii="Times New Roman" w:eastAsia="Times New Roman" w:hAnsi="Times New Roman"/>
        </w:rPr>
        <w:t xml:space="preserve"> is working with the PMO to establish compliance programs, such as FOG prevention.</w:t>
      </w:r>
      <w:r w:rsidR="00DD33EF">
        <w:rPr>
          <w:rStyle w:val="FootnoteReference"/>
          <w:rFonts w:ascii="Times New Roman" w:eastAsia="Times New Roman" w:hAnsi="Times New Roman"/>
        </w:rPr>
        <w:footnoteReference w:id="14"/>
      </w:r>
      <w:r w:rsidRPr="00CE182E">
        <w:rPr>
          <w:rFonts w:ascii="Times New Roman" w:eastAsia="Times New Roman" w:hAnsi="Times New Roman"/>
        </w:rPr>
        <w:t xml:space="preserve"> </w:t>
      </w:r>
    </w:p>
    <w:p w:rsidR="00CE182E" w:rsidRPr="00CE182E" w:rsidRDefault="00CE182E" w:rsidP="00CE182E">
      <w:pPr>
        <w:spacing w:line="480" w:lineRule="auto"/>
        <w:ind w:firstLine="720"/>
        <w:jc w:val="both"/>
        <w:rPr>
          <w:rFonts w:ascii="Times New Roman" w:eastAsia="Times New Roman" w:hAnsi="Times New Roman"/>
        </w:rPr>
      </w:pPr>
      <w:r>
        <w:rPr>
          <w:rFonts w:ascii="Times New Roman" w:eastAsia="Times New Roman" w:hAnsi="Times New Roman"/>
        </w:rPr>
        <w:tab/>
      </w:r>
      <w:r w:rsidRPr="00CE182E">
        <w:rPr>
          <w:rFonts w:ascii="Times New Roman" w:eastAsia="Times New Roman" w:hAnsi="Times New Roman"/>
        </w:rPr>
        <w:t>GWA has also enhanced its operations by implementing its Computerized Maintenance Management System, a Water Systems Control Center, and comprehensive standard operating procedures.</w:t>
      </w:r>
      <w:r w:rsidR="00DD33EF">
        <w:rPr>
          <w:rStyle w:val="FootnoteReference"/>
          <w:rFonts w:ascii="Times New Roman" w:eastAsia="Times New Roman" w:hAnsi="Times New Roman"/>
        </w:rPr>
        <w:footnoteReference w:id="15"/>
      </w:r>
      <w:r w:rsidRPr="00CE182E">
        <w:rPr>
          <w:rFonts w:ascii="Times New Roman" w:eastAsia="Times New Roman" w:hAnsi="Times New Roman"/>
        </w:rPr>
        <w:t xml:space="preserve">  It also continues to improve its data acquisition and management; its Geographic Information Systems; and hydraulic modeling capabilities.</w:t>
      </w:r>
      <w:r w:rsidR="00DD33EF">
        <w:rPr>
          <w:rStyle w:val="FootnoteReference"/>
          <w:rFonts w:ascii="Times New Roman" w:eastAsia="Times New Roman" w:hAnsi="Times New Roman"/>
        </w:rPr>
        <w:footnoteReference w:id="16"/>
      </w:r>
    </w:p>
    <w:p w:rsidR="00E8372A" w:rsidRPr="00614151" w:rsidRDefault="00CE182E" w:rsidP="000674FC">
      <w:pPr>
        <w:keepNext/>
        <w:keepLines/>
        <w:spacing w:line="480" w:lineRule="auto"/>
        <w:ind w:firstLine="720"/>
        <w:jc w:val="both"/>
        <w:rPr>
          <w:rFonts w:ascii="Times New Roman" w:eastAsia="Times New Roman" w:hAnsi="Times New Roman"/>
          <w:b/>
          <w:u w:val="single"/>
        </w:rPr>
      </w:pPr>
      <w:r>
        <w:rPr>
          <w:rFonts w:ascii="Times New Roman" w:eastAsia="Times New Roman" w:hAnsi="Times New Roman"/>
          <w:b/>
        </w:rPr>
        <w:t>B</w:t>
      </w:r>
      <w:r w:rsidR="00E8372A" w:rsidRPr="00595906">
        <w:rPr>
          <w:rFonts w:ascii="Times New Roman" w:eastAsia="Times New Roman" w:hAnsi="Times New Roman"/>
          <w:b/>
        </w:rPr>
        <w:t>.</w:t>
      </w:r>
      <w:r w:rsidR="00E8372A" w:rsidRPr="00595906">
        <w:rPr>
          <w:rFonts w:ascii="Times New Roman" w:eastAsia="Times New Roman" w:hAnsi="Times New Roman"/>
          <w:b/>
        </w:rPr>
        <w:tab/>
      </w:r>
      <w:r>
        <w:rPr>
          <w:rFonts w:ascii="Times New Roman" w:eastAsia="Times New Roman" w:hAnsi="Times New Roman"/>
          <w:b/>
          <w:u w:val="single"/>
        </w:rPr>
        <w:t>Transition Schedule</w:t>
      </w:r>
    </w:p>
    <w:p w:rsidR="00C425FA" w:rsidRDefault="00E8372A" w:rsidP="000674FC">
      <w:pPr>
        <w:keepNext/>
        <w:keepLines/>
        <w:spacing w:line="480" w:lineRule="auto"/>
        <w:ind w:firstLine="720"/>
        <w:jc w:val="both"/>
        <w:rPr>
          <w:rFonts w:ascii="Times New Roman" w:eastAsia="Times New Roman" w:hAnsi="Times New Roman"/>
        </w:rPr>
      </w:pPr>
      <w:r>
        <w:rPr>
          <w:rFonts w:ascii="Times New Roman" w:eastAsia="Times New Roman" w:hAnsi="Times New Roman"/>
        </w:rPr>
        <w:tab/>
      </w:r>
      <w:r w:rsidR="00C425FA" w:rsidRPr="00C425FA">
        <w:rPr>
          <w:rFonts w:ascii="Times New Roman" w:eastAsia="Times New Roman" w:hAnsi="Times New Roman"/>
        </w:rPr>
        <w:t xml:space="preserve">With regard to transition, </w:t>
      </w:r>
      <w:proofErr w:type="spellStart"/>
      <w:r w:rsidR="00C425FA" w:rsidRPr="00C425FA">
        <w:rPr>
          <w:rFonts w:ascii="Times New Roman" w:eastAsia="Times New Roman" w:hAnsi="Times New Roman"/>
        </w:rPr>
        <w:t>GWA</w:t>
      </w:r>
      <w:proofErr w:type="spellEnd"/>
      <w:r w:rsidR="00C425FA" w:rsidRPr="00C425FA">
        <w:rPr>
          <w:rFonts w:ascii="Times New Roman" w:eastAsia="Times New Roman" w:hAnsi="Times New Roman"/>
        </w:rPr>
        <w:t xml:space="preserve"> submit</w:t>
      </w:r>
      <w:r w:rsidR="00AF0EA9">
        <w:rPr>
          <w:rFonts w:ascii="Times New Roman" w:eastAsia="Times New Roman" w:hAnsi="Times New Roman"/>
        </w:rPr>
        <w:t>ted</w:t>
      </w:r>
      <w:r w:rsidR="00C425FA" w:rsidRPr="00C425FA">
        <w:rPr>
          <w:rFonts w:ascii="Times New Roman" w:eastAsia="Times New Roman" w:hAnsi="Times New Roman"/>
        </w:rPr>
        <w:t xml:space="preserve"> that “transitional activities” began in 2015 and will continue until 2017.</w:t>
      </w:r>
      <w:r w:rsidR="00DD33EF">
        <w:rPr>
          <w:rStyle w:val="FootnoteReference"/>
          <w:rFonts w:ascii="Times New Roman" w:eastAsia="Times New Roman" w:hAnsi="Times New Roman"/>
        </w:rPr>
        <w:footnoteReference w:id="17"/>
      </w:r>
      <w:r w:rsidR="00AF0EA9">
        <w:rPr>
          <w:rFonts w:ascii="Times New Roman" w:eastAsia="Times New Roman" w:hAnsi="Times New Roman"/>
        </w:rPr>
        <w:t xml:space="preserve">  </w:t>
      </w:r>
      <w:proofErr w:type="spellStart"/>
      <w:r w:rsidR="00AF0EA9">
        <w:rPr>
          <w:rFonts w:ascii="Times New Roman" w:eastAsia="Times New Roman" w:hAnsi="Times New Roman"/>
        </w:rPr>
        <w:t>GWA</w:t>
      </w:r>
      <w:proofErr w:type="spellEnd"/>
      <w:r w:rsidR="00AF0EA9">
        <w:rPr>
          <w:rFonts w:ascii="Times New Roman" w:eastAsia="Times New Roman" w:hAnsi="Times New Roman"/>
        </w:rPr>
        <w:t xml:space="preserve"> submitted</w:t>
      </w:r>
      <w:r w:rsidR="00C425FA" w:rsidRPr="00C425FA">
        <w:rPr>
          <w:rFonts w:ascii="Times New Roman" w:eastAsia="Times New Roman" w:hAnsi="Times New Roman"/>
        </w:rPr>
        <w:t xml:space="preserve"> that the </w:t>
      </w:r>
      <w:proofErr w:type="spellStart"/>
      <w:r w:rsidR="00C425FA" w:rsidRPr="00C425FA">
        <w:rPr>
          <w:rFonts w:ascii="Times New Roman" w:eastAsia="Times New Roman" w:hAnsi="Times New Roman"/>
        </w:rPr>
        <w:t>PMO’s</w:t>
      </w:r>
      <w:proofErr w:type="spellEnd"/>
      <w:r w:rsidR="00C425FA" w:rsidRPr="00C425FA">
        <w:rPr>
          <w:rFonts w:ascii="Times New Roman" w:eastAsia="Times New Roman" w:hAnsi="Times New Roman"/>
        </w:rPr>
        <w:t xml:space="preserve"> activities during this period will involve completion of existing work authorizations.</w:t>
      </w:r>
      <w:r w:rsidR="00DD33EF">
        <w:rPr>
          <w:rStyle w:val="FootnoteReference"/>
          <w:rFonts w:ascii="Times New Roman" w:eastAsia="Times New Roman" w:hAnsi="Times New Roman"/>
        </w:rPr>
        <w:footnoteReference w:id="18"/>
      </w:r>
      <w:r w:rsidR="00C425FA" w:rsidRPr="00C425FA">
        <w:rPr>
          <w:rFonts w:ascii="Times New Roman" w:eastAsia="Times New Roman" w:hAnsi="Times New Roman"/>
        </w:rPr>
        <w:t xml:space="preserve">    </w:t>
      </w:r>
    </w:p>
    <w:p w:rsidR="00C425FA" w:rsidRPr="00C425FA" w:rsidRDefault="00C425FA" w:rsidP="00C425FA">
      <w:pPr>
        <w:spacing w:line="480" w:lineRule="auto"/>
        <w:ind w:firstLine="720"/>
        <w:jc w:val="both"/>
        <w:rPr>
          <w:rFonts w:ascii="Times New Roman" w:eastAsia="Times New Roman" w:hAnsi="Times New Roman"/>
        </w:rPr>
      </w:pPr>
      <w:r>
        <w:rPr>
          <w:rFonts w:ascii="Times New Roman" w:eastAsia="Times New Roman" w:hAnsi="Times New Roman"/>
        </w:rPr>
        <w:tab/>
      </w:r>
      <w:r w:rsidRPr="00C425FA">
        <w:rPr>
          <w:rFonts w:ascii="Times New Roman" w:eastAsia="Times New Roman" w:hAnsi="Times New Roman"/>
        </w:rPr>
        <w:t xml:space="preserve">In particular, </w:t>
      </w:r>
      <w:proofErr w:type="spellStart"/>
      <w:r w:rsidRPr="00C425FA">
        <w:rPr>
          <w:rFonts w:ascii="Times New Roman" w:eastAsia="Times New Roman" w:hAnsi="Times New Roman"/>
        </w:rPr>
        <w:t>GWA</w:t>
      </w:r>
      <w:proofErr w:type="spellEnd"/>
      <w:r w:rsidRPr="00C425FA">
        <w:rPr>
          <w:rFonts w:ascii="Times New Roman" w:eastAsia="Times New Roman" w:hAnsi="Times New Roman"/>
        </w:rPr>
        <w:t xml:space="preserve"> indicate</w:t>
      </w:r>
      <w:r w:rsidR="00AF0EA9">
        <w:rPr>
          <w:rFonts w:ascii="Times New Roman" w:eastAsia="Times New Roman" w:hAnsi="Times New Roman"/>
        </w:rPr>
        <w:t>d</w:t>
      </w:r>
      <w:r w:rsidRPr="00C425FA">
        <w:rPr>
          <w:rFonts w:ascii="Times New Roman" w:eastAsia="Times New Roman" w:hAnsi="Times New Roman"/>
        </w:rPr>
        <w:t xml:space="preserve"> that the remaining activities for the PMO include the following projects that have carried over from 2015: the facility planning for </w:t>
      </w:r>
      <w:r w:rsidRPr="00C425FA">
        <w:rPr>
          <w:rFonts w:ascii="Times New Roman" w:eastAsia="Times New Roman" w:hAnsi="Times New Roman"/>
        </w:rPr>
        <w:lastRenderedPageBreak/>
        <w:t xml:space="preserve">the </w:t>
      </w:r>
      <w:proofErr w:type="spellStart"/>
      <w:r w:rsidRPr="00C425FA">
        <w:rPr>
          <w:rFonts w:ascii="Times New Roman" w:eastAsia="Times New Roman" w:hAnsi="Times New Roman"/>
        </w:rPr>
        <w:t>Hagatna</w:t>
      </w:r>
      <w:proofErr w:type="spellEnd"/>
      <w:r w:rsidRPr="00C425FA">
        <w:rPr>
          <w:rFonts w:ascii="Times New Roman" w:eastAsia="Times New Roman" w:hAnsi="Times New Roman"/>
        </w:rPr>
        <w:t xml:space="preserve"> Wastewater Treatment Plant and the Northern District Wastewater Treatment Plant; and </w:t>
      </w:r>
      <w:r w:rsidR="001F7F0E" w:rsidRPr="00C425FA">
        <w:rPr>
          <w:rFonts w:ascii="Times New Roman" w:eastAsia="Times New Roman" w:hAnsi="Times New Roman"/>
        </w:rPr>
        <w:t>technical sup</w:t>
      </w:r>
      <w:r w:rsidRPr="00C425FA">
        <w:rPr>
          <w:rFonts w:ascii="Times New Roman" w:eastAsia="Times New Roman" w:hAnsi="Times New Roman"/>
        </w:rPr>
        <w:t xml:space="preserve">port for </w:t>
      </w:r>
      <w:proofErr w:type="spellStart"/>
      <w:r w:rsidRPr="00C425FA">
        <w:rPr>
          <w:rFonts w:ascii="Times New Roman" w:eastAsia="Times New Roman" w:hAnsi="Times New Roman"/>
        </w:rPr>
        <w:t>GWA’s</w:t>
      </w:r>
      <w:proofErr w:type="spellEnd"/>
      <w:r w:rsidRPr="00C425FA">
        <w:rPr>
          <w:rFonts w:ascii="Times New Roman" w:eastAsia="Times New Roman" w:hAnsi="Times New Roman"/>
        </w:rPr>
        <w:t xml:space="preserve"> Source Control Program.</w:t>
      </w:r>
      <w:r w:rsidR="00DD33EF">
        <w:rPr>
          <w:rStyle w:val="FootnoteReference"/>
          <w:rFonts w:ascii="Times New Roman" w:eastAsia="Times New Roman" w:hAnsi="Times New Roman"/>
        </w:rPr>
        <w:footnoteReference w:id="19"/>
      </w:r>
      <w:r w:rsidRPr="00C425FA">
        <w:rPr>
          <w:rFonts w:ascii="Times New Roman" w:eastAsia="Times New Roman" w:hAnsi="Times New Roman"/>
        </w:rPr>
        <w:t xml:space="preserve">  The other remaining projects in</w:t>
      </w:r>
      <w:r w:rsidR="001F7F0E">
        <w:rPr>
          <w:rFonts w:ascii="Times New Roman" w:eastAsia="Times New Roman" w:hAnsi="Times New Roman"/>
        </w:rPr>
        <w:t>volv</w:t>
      </w:r>
      <w:r w:rsidRPr="00C425FA">
        <w:rPr>
          <w:rFonts w:ascii="Times New Roman" w:eastAsia="Times New Roman" w:hAnsi="Times New Roman"/>
        </w:rPr>
        <w:t xml:space="preserve">e projects that the Commission has already reviewed and authorized in 2016, which include: the </w:t>
      </w:r>
      <w:proofErr w:type="spellStart"/>
      <w:r w:rsidRPr="00C425FA">
        <w:rPr>
          <w:rFonts w:ascii="Times New Roman" w:eastAsia="Times New Roman" w:hAnsi="Times New Roman"/>
        </w:rPr>
        <w:t>Agat-Umatac</w:t>
      </w:r>
      <w:proofErr w:type="spellEnd"/>
      <w:r w:rsidRPr="00C425FA">
        <w:rPr>
          <w:rFonts w:ascii="Times New Roman" w:eastAsia="Times New Roman" w:hAnsi="Times New Roman"/>
        </w:rPr>
        <w:t xml:space="preserve"> Potable Waterline Analysis; Phase 1 of the </w:t>
      </w:r>
      <w:proofErr w:type="spellStart"/>
      <w:r w:rsidRPr="00C425FA">
        <w:rPr>
          <w:rFonts w:ascii="Times New Roman" w:eastAsia="Times New Roman" w:hAnsi="Times New Roman"/>
        </w:rPr>
        <w:t>Tumon</w:t>
      </w:r>
      <w:proofErr w:type="spellEnd"/>
      <w:r w:rsidRPr="00C425FA">
        <w:rPr>
          <w:rFonts w:ascii="Times New Roman" w:eastAsia="Times New Roman" w:hAnsi="Times New Roman"/>
        </w:rPr>
        <w:t xml:space="preserve"> Sewer Basin Study; the Mixing Zone Study for </w:t>
      </w:r>
      <w:proofErr w:type="spellStart"/>
      <w:r w:rsidRPr="00C425FA">
        <w:rPr>
          <w:rFonts w:ascii="Times New Roman" w:eastAsia="Times New Roman" w:hAnsi="Times New Roman"/>
        </w:rPr>
        <w:t>Agat</w:t>
      </w:r>
      <w:proofErr w:type="spellEnd"/>
      <w:r w:rsidRPr="00C425FA">
        <w:rPr>
          <w:rFonts w:ascii="Times New Roman" w:eastAsia="Times New Roman" w:hAnsi="Times New Roman"/>
        </w:rPr>
        <w:t xml:space="preserve">-Santa Rita Wastewater Treatment Plant; Phase 3 of Hydraulic Modeling; Engineering for Groundwater Well Production Meters; Project Management for the </w:t>
      </w:r>
      <w:proofErr w:type="spellStart"/>
      <w:r w:rsidRPr="00C425FA">
        <w:rPr>
          <w:rFonts w:ascii="Times New Roman" w:eastAsia="Times New Roman" w:hAnsi="Times New Roman"/>
        </w:rPr>
        <w:t>Umatac-Merizo</w:t>
      </w:r>
      <w:proofErr w:type="spellEnd"/>
      <w:r w:rsidRPr="00C425FA">
        <w:rPr>
          <w:rFonts w:ascii="Times New Roman" w:eastAsia="Times New Roman" w:hAnsi="Times New Roman"/>
        </w:rPr>
        <w:t xml:space="preserve"> Wastewater Treatment Plant Upgrade Design; Backflow Prevention Program; and continued program management support.  In addition, the PMO will continue to provide </w:t>
      </w:r>
      <w:proofErr w:type="spellStart"/>
      <w:r w:rsidRPr="00C425FA">
        <w:rPr>
          <w:rFonts w:ascii="Times New Roman" w:eastAsia="Times New Roman" w:hAnsi="Times New Roman"/>
        </w:rPr>
        <w:t>SRF</w:t>
      </w:r>
      <w:proofErr w:type="spellEnd"/>
      <w:r w:rsidRPr="00C425FA">
        <w:rPr>
          <w:rFonts w:ascii="Times New Roman" w:eastAsia="Times New Roman" w:hAnsi="Times New Roman"/>
        </w:rPr>
        <w:t xml:space="preserve"> project support.</w:t>
      </w:r>
      <w:r w:rsidR="00DD33EF">
        <w:rPr>
          <w:rStyle w:val="FootnoteReference"/>
          <w:rFonts w:ascii="Times New Roman" w:eastAsia="Times New Roman" w:hAnsi="Times New Roman"/>
        </w:rPr>
        <w:footnoteReference w:id="20"/>
      </w:r>
    </w:p>
    <w:p w:rsidR="00C425FA" w:rsidRPr="00C425FA" w:rsidRDefault="00C425FA" w:rsidP="00C425FA">
      <w:pPr>
        <w:spacing w:line="480" w:lineRule="auto"/>
        <w:ind w:firstLine="720"/>
        <w:jc w:val="both"/>
        <w:rPr>
          <w:rFonts w:ascii="Times New Roman" w:eastAsia="Times New Roman" w:hAnsi="Times New Roman"/>
        </w:rPr>
      </w:pPr>
      <w:r>
        <w:rPr>
          <w:rFonts w:ascii="Times New Roman" w:eastAsia="Times New Roman" w:hAnsi="Times New Roman"/>
        </w:rPr>
        <w:tab/>
      </w:r>
      <w:r w:rsidRPr="00C425FA">
        <w:rPr>
          <w:rFonts w:ascii="Times New Roman" w:eastAsia="Times New Roman" w:hAnsi="Times New Roman"/>
        </w:rPr>
        <w:t>According to GWA, this stage will end “with the eventual PMO elimination as GWA overtakes its previous limitations and powers through sustained operations under its own efforts.”</w:t>
      </w:r>
      <w:r w:rsidR="00DD33EF">
        <w:rPr>
          <w:rStyle w:val="FootnoteReference"/>
          <w:rFonts w:ascii="Times New Roman" w:eastAsia="Times New Roman" w:hAnsi="Times New Roman"/>
        </w:rPr>
        <w:footnoteReference w:id="21"/>
      </w:r>
      <w:r>
        <w:rPr>
          <w:rFonts w:ascii="Times New Roman" w:eastAsia="Times New Roman" w:hAnsi="Times New Roman"/>
        </w:rPr>
        <w:t xml:space="preserve">  </w:t>
      </w:r>
      <w:r w:rsidRPr="00C425FA">
        <w:rPr>
          <w:rFonts w:ascii="Times New Roman" w:eastAsia="Times New Roman" w:hAnsi="Times New Roman"/>
        </w:rPr>
        <w:t xml:space="preserve">Accordingly, </w:t>
      </w:r>
      <w:proofErr w:type="spellStart"/>
      <w:r w:rsidRPr="00C425FA">
        <w:rPr>
          <w:rFonts w:ascii="Times New Roman" w:eastAsia="Times New Roman" w:hAnsi="Times New Roman"/>
        </w:rPr>
        <w:t>GWA</w:t>
      </w:r>
      <w:proofErr w:type="spellEnd"/>
      <w:r w:rsidR="00AF0EA9">
        <w:rPr>
          <w:rFonts w:ascii="Times New Roman" w:eastAsia="Times New Roman" w:hAnsi="Times New Roman"/>
        </w:rPr>
        <w:t xml:space="preserve"> maintained</w:t>
      </w:r>
      <w:r w:rsidRPr="00C425FA">
        <w:rPr>
          <w:rFonts w:ascii="Times New Roman" w:eastAsia="Times New Roman" w:hAnsi="Times New Roman"/>
        </w:rPr>
        <w:t xml:space="preserve"> that </w:t>
      </w:r>
      <w:proofErr w:type="spellStart"/>
      <w:r w:rsidRPr="00C425FA">
        <w:rPr>
          <w:rFonts w:ascii="Times New Roman" w:eastAsia="Times New Roman" w:hAnsi="Times New Roman"/>
        </w:rPr>
        <w:t>PMO</w:t>
      </w:r>
      <w:proofErr w:type="spellEnd"/>
      <w:r w:rsidRPr="00C425FA">
        <w:rPr>
          <w:rFonts w:ascii="Times New Roman" w:eastAsia="Times New Roman" w:hAnsi="Times New Roman"/>
        </w:rPr>
        <w:t xml:space="preserve"> funding will decline during this transition period, </w:t>
      </w:r>
      <w:r w:rsidR="00B61E0E">
        <w:rPr>
          <w:rFonts w:ascii="Times New Roman" w:eastAsia="Times New Roman" w:hAnsi="Times New Roman"/>
        </w:rPr>
        <w:t xml:space="preserve">and </w:t>
      </w:r>
      <w:r w:rsidRPr="00C425FA">
        <w:rPr>
          <w:rFonts w:ascii="Times New Roman" w:eastAsia="Times New Roman" w:hAnsi="Times New Roman"/>
        </w:rPr>
        <w:t>with the intent that the contract will expire in 2019.</w:t>
      </w:r>
      <w:r w:rsidR="00DD33EF">
        <w:rPr>
          <w:rStyle w:val="FootnoteReference"/>
          <w:rFonts w:ascii="Times New Roman" w:eastAsia="Times New Roman" w:hAnsi="Times New Roman"/>
        </w:rPr>
        <w:footnoteReference w:id="22"/>
      </w:r>
      <w:r w:rsidR="00AF0EA9">
        <w:rPr>
          <w:rFonts w:ascii="Times New Roman" w:eastAsia="Times New Roman" w:hAnsi="Times New Roman"/>
        </w:rPr>
        <w:t xml:space="preserve">  </w:t>
      </w:r>
      <w:proofErr w:type="spellStart"/>
      <w:r w:rsidR="00AF0EA9">
        <w:rPr>
          <w:rFonts w:ascii="Times New Roman" w:eastAsia="Times New Roman" w:hAnsi="Times New Roman"/>
        </w:rPr>
        <w:t>GWA</w:t>
      </w:r>
      <w:proofErr w:type="spellEnd"/>
      <w:r w:rsidR="00AF0EA9">
        <w:rPr>
          <w:rFonts w:ascii="Times New Roman" w:eastAsia="Times New Roman" w:hAnsi="Times New Roman"/>
        </w:rPr>
        <w:t xml:space="preserve"> projected</w:t>
      </w:r>
      <w:r w:rsidRPr="00C425FA">
        <w:rPr>
          <w:rFonts w:ascii="Times New Roman" w:eastAsia="Times New Roman" w:hAnsi="Times New Roman"/>
        </w:rPr>
        <w:t xml:space="preserve"> that the </w:t>
      </w:r>
      <w:proofErr w:type="spellStart"/>
      <w:r w:rsidRPr="00C425FA">
        <w:rPr>
          <w:rFonts w:ascii="Times New Roman" w:eastAsia="Times New Roman" w:hAnsi="Times New Roman"/>
        </w:rPr>
        <w:t>PMO</w:t>
      </w:r>
      <w:proofErr w:type="spellEnd"/>
      <w:r w:rsidRPr="00C425FA">
        <w:rPr>
          <w:rFonts w:ascii="Times New Roman" w:eastAsia="Times New Roman" w:hAnsi="Times New Roman"/>
        </w:rPr>
        <w:t xml:space="preserve"> contract will require an additional $3 million in funding for 2017, and </w:t>
      </w:r>
      <w:r w:rsidR="00873337">
        <w:rPr>
          <w:rFonts w:ascii="Times New Roman" w:eastAsia="Times New Roman" w:hAnsi="Times New Roman"/>
        </w:rPr>
        <w:t xml:space="preserve">what appears to be </w:t>
      </w:r>
      <w:r w:rsidRPr="00C425FA">
        <w:rPr>
          <w:rFonts w:ascii="Times New Roman" w:eastAsia="Times New Roman" w:hAnsi="Times New Roman"/>
        </w:rPr>
        <w:t>another $1.5 million for 2018.</w:t>
      </w:r>
      <w:r w:rsidR="00DD33EF">
        <w:rPr>
          <w:rStyle w:val="FootnoteReference"/>
          <w:rFonts w:ascii="Times New Roman" w:eastAsia="Times New Roman" w:hAnsi="Times New Roman"/>
        </w:rPr>
        <w:footnoteReference w:id="23"/>
      </w:r>
      <w:r w:rsidRPr="00C425FA">
        <w:rPr>
          <w:rFonts w:ascii="Times New Roman" w:eastAsia="Times New Roman" w:hAnsi="Times New Roman"/>
        </w:rPr>
        <w:t xml:space="preserve">  </w:t>
      </w:r>
      <w:proofErr w:type="spellStart"/>
      <w:r w:rsidRPr="00C425FA">
        <w:rPr>
          <w:rFonts w:ascii="Times New Roman" w:eastAsia="Times New Roman" w:hAnsi="Times New Roman"/>
        </w:rPr>
        <w:t>GWA</w:t>
      </w:r>
      <w:proofErr w:type="spellEnd"/>
      <w:r w:rsidRPr="00C425FA">
        <w:rPr>
          <w:rFonts w:ascii="Times New Roman" w:eastAsia="Times New Roman" w:hAnsi="Times New Roman"/>
        </w:rPr>
        <w:t xml:space="preserve"> submit</w:t>
      </w:r>
      <w:r w:rsidR="00AF0EA9">
        <w:rPr>
          <w:rFonts w:ascii="Times New Roman" w:eastAsia="Times New Roman" w:hAnsi="Times New Roman"/>
        </w:rPr>
        <w:t>ted</w:t>
      </w:r>
      <w:r w:rsidRPr="00C425FA">
        <w:rPr>
          <w:rFonts w:ascii="Times New Roman" w:eastAsia="Times New Roman" w:hAnsi="Times New Roman"/>
        </w:rPr>
        <w:t xml:space="preserve"> that the additional funding will support continued program management services and the development of wastewater standards.</w:t>
      </w:r>
      <w:r w:rsidR="00DD33EF">
        <w:rPr>
          <w:rStyle w:val="FootnoteReference"/>
          <w:rFonts w:ascii="Times New Roman" w:eastAsia="Times New Roman" w:hAnsi="Times New Roman"/>
        </w:rPr>
        <w:footnoteReference w:id="24"/>
      </w:r>
    </w:p>
    <w:p w:rsidR="00C425FA" w:rsidRPr="00C425FA" w:rsidRDefault="00C425FA" w:rsidP="00C425FA">
      <w:pPr>
        <w:spacing w:line="480" w:lineRule="auto"/>
        <w:ind w:firstLine="720"/>
        <w:jc w:val="both"/>
        <w:rPr>
          <w:rFonts w:ascii="Times New Roman" w:eastAsia="Times New Roman" w:hAnsi="Times New Roman"/>
        </w:rPr>
      </w:pPr>
      <w:r>
        <w:rPr>
          <w:rFonts w:ascii="Times New Roman" w:eastAsia="Times New Roman" w:hAnsi="Times New Roman"/>
        </w:rPr>
        <w:tab/>
      </w:r>
      <w:proofErr w:type="spellStart"/>
      <w:r w:rsidRPr="00C425FA">
        <w:rPr>
          <w:rFonts w:ascii="Times New Roman" w:eastAsia="Times New Roman" w:hAnsi="Times New Roman"/>
        </w:rPr>
        <w:t>GWA</w:t>
      </w:r>
      <w:proofErr w:type="spellEnd"/>
      <w:r w:rsidRPr="00C425FA">
        <w:rPr>
          <w:rFonts w:ascii="Times New Roman" w:eastAsia="Times New Roman" w:hAnsi="Times New Roman"/>
        </w:rPr>
        <w:t xml:space="preserve"> will further transition to more demand-type of contract</w:t>
      </w:r>
      <w:r w:rsidR="001F7F0E">
        <w:rPr>
          <w:rFonts w:ascii="Times New Roman" w:eastAsia="Times New Roman" w:hAnsi="Times New Roman"/>
        </w:rPr>
        <w:t>s</w:t>
      </w:r>
      <w:r w:rsidRPr="00C425FA">
        <w:rPr>
          <w:rFonts w:ascii="Times New Roman" w:eastAsia="Times New Roman" w:hAnsi="Times New Roman"/>
        </w:rPr>
        <w:t xml:space="preserve">, which it will utilize for engineering services for project design or construction management; </w:t>
      </w:r>
      <w:r w:rsidRPr="00C425FA">
        <w:rPr>
          <w:rFonts w:ascii="Times New Roman" w:eastAsia="Times New Roman" w:hAnsi="Times New Roman"/>
        </w:rPr>
        <w:lastRenderedPageBreak/>
        <w:t>construction services; and specialty consulting services for “technically advanced, complex or critical compliance projects.”</w:t>
      </w:r>
      <w:r w:rsidR="000674FC">
        <w:rPr>
          <w:rStyle w:val="FootnoteReference"/>
          <w:rFonts w:ascii="Times New Roman" w:eastAsia="Times New Roman" w:hAnsi="Times New Roman"/>
        </w:rPr>
        <w:footnoteReference w:id="25"/>
      </w:r>
    </w:p>
    <w:p w:rsidR="00426C88" w:rsidRDefault="003174D9" w:rsidP="002319F6">
      <w:pPr>
        <w:spacing w:line="480" w:lineRule="auto"/>
        <w:ind w:firstLine="720"/>
        <w:jc w:val="both"/>
        <w:rPr>
          <w:rFonts w:ascii="Times New Roman" w:hAnsi="Times New Roman"/>
        </w:rPr>
      </w:pPr>
      <w:r>
        <w:rPr>
          <w:rFonts w:ascii="Times New Roman" w:eastAsia="Times New Roman" w:hAnsi="Times New Roman"/>
        </w:rPr>
        <w:tab/>
      </w:r>
      <w:r w:rsidR="008E64AE">
        <w:rPr>
          <w:rFonts w:ascii="Times New Roman" w:eastAsia="Times New Roman" w:hAnsi="Times New Roman"/>
        </w:rPr>
        <w:t>Based on the submission of the Transition Plan</w:t>
      </w:r>
      <w:r w:rsidR="00F76625">
        <w:rPr>
          <w:rFonts w:ascii="Times New Roman" w:eastAsia="Times New Roman" w:hAnsi="Times New Roman"/>
        </w:rPr>
        <w:t>,</w:t>
      </w:r>
      <w:r w:rsidR="00AF0EA9">
        <w:rPr>
          <w:rFonts w:ascii="Times New Roman" w:eastAsia="Times New Roman" w:hAnsi="Times New Roman"/>
        </w:rPr>
        <w:t xml:space="preserve"> the </w:t>
      </w:r>
      <w:proofErr w:type="spellStart"/>
      <w:r w:rsidR="00AF0EA9">
        <w:rPr>
          <w:rFonts w:ascii="Times New Roman" w:eastAsia="Times New Roman" w:hAnsi="Times New Roman"/>
        </w:rPr>
        <w:t>ALJ</w:t>
      </w:r>
      <w:proofErr w:type="spellEnd"/>
      <w:r w:rsidR="00AF0EA9">
        <w:rPr>
          <w:rFonts w:ascii="Times New Roman" w:eastAsia="Times New Roman" w:hAnsi="Times New Roman"/>
        </w:rPr>
        <w:t xml:space="preserve"> recommended</w:t>
      </w:r>
      <w:r w:rsidR="002319F6">
        <w:rPr>
          <w:rFonts w:ascii="Times New Roman" w:eastAsia="Times New Roman" w:hAnsi="Times New Roman"/>
        </w:rPr>
        <w:t xml:space="preserve"> that </w:t>
      </w:r>
      <w:r w:rsidR="00A311EF">
        <w:rPr>
          <w:rFonts w:ascii="Times New Roman" w:eastAsia="Times New Roman" w:hAnsi="Times New Roman"/>
        </w:rPr>
        <w:t xml:space="preserve">the PUC approve GWA’s request for </w:t>
      </w:r>
      <w:r w:rsidR="008E64AE">
        <w:rPr>
          <w:rFonts w:ascii="Times New Roman" w:eastAsia="Times New Roman" w:hAnsi="Times New Roman"/>
        </w:rPr>
        <w:t xml:space="preserve">the remaining </w:t>
      </w:r>
      <w:r w:rsidR="00A311EF">
        <w:rPr>
          <w:rFonts w:ascii="Times New Roman" w:eastAsia="Times New Roman" w:hAnsi="Times New Roman"/>
        </w:rPr>
        <w:t>funding for</w:t>
      </w:r>
      <w:r w:rsidR="00F76625">
        <w:rPr>
          <w:rFonts w:ascii="Times New Roman" w:eastAsia="Times New Roman" w:hAnsi="Times New Roman"/>
        </w:rPr>
        <w:t xml:space="preserve"> its contract with Brown &amp; Caldwell, not to exceed </w:t>
      </w:r>
      <w:r w:rsidR="00E31621" w:rsidRPr="00DE3B47">
        <w:rPr>
          <w:rFonts w:ascii="Times New Roman" w:eastAsia="Times New Roman" w:hAnsi="Times New Roman"/>
        </w:rPr>
        <w:t>$</w:t>
      </w:r>
      <w:r w:rsidR="00CB40B8">
        <w:rPr>
          <w:rFonts w:ascii="Times New Roman" w:eastAsia="Times New Roman" w:hAnsi="Times New Roman"/>
        </w:rPr>
        <w:t>2,029,938.50</w:t>
      </w:r>
      <w:r w:rsidR="008E64AE">
        <w:rPr>
          <w:rFonts w:ascii="Times New Roman" w:eastAsia="Times New Roman" w:hAnsi="Times New Roman"/>
        </w:rPr>
        <w:t>.  Again, the ALJ f</w:t>
      </w:r>
      <w:r w:rsidR="00AF0EA9">
        <w:rPr>
          <w:rFonts w:ascii="Times New Roman" w:eastAsia="Times New Roman" w:hAnsi="Times New Roman"/>
        </w:rPr>
        <w:t>ound</w:t>
      </w:r>
      <w:r w:rsidR="008E64AE">
        <w:rPr>
          <w:rFonts w:ascii="Times New Roman" w:eastAsia="Times New Roman" w:hAnsi="Times New Roman"/>
        </w:rPr>
        <w:t xml:space="preserve"> that the additional funds for the projects described in the </w:t>
      </w:r>
      <w:r w:rsidR="001F7F0E">
        <w:rPr>
          <w:rFonts w:ascii="Times New Roman" w:eastAsia="Times New Roman" w:hAnsi="Times New Roman"/>
        </w:rPr>
        <w:t xml:space="preserve">instant </w:t>
      </w:r>
      <w:r w:rsidR="008E64AE">
        <w:rPr>
          <w:rFonts w:ascii="Times New Roman" w:eastAsia="Times New Roman" w:hAnsi="Times New Roman"/>
        </w:rPr>
        <w:t xml:space="preserve">Petition are critical and necessary in order for GWA to meet the deadlines imposed by the federal Stipulated Order, as well as to improve GWA’s water and wastewater systems.  </w:t>
      </w:r>
      <w:proofErr w:type="spellStart"/>
      <w:r w:rsidR="0020292E">
        <w:rPr>
          <w:rFonts w:ascii="Times New Roman" w:hAnsi="Times New Roman"/>
        </w:rPr>
        <w:t>GWA</w:t>
      </w:r>
      <w:proofErr w:type="spellEnd"/>
      <w:r w:rsidR="0020292E">
        <w:rPr>
          <w:rFonts w:ascii="Times New Roman" w:hAnsi="Times New Roman"/>
        </w:rPr>
        <w:t xml:space="preserve"> sh</w:t>
      </w:r>
      <w:r w:rsidR="00AF0EA9">
        <w:rPr>
          <w:rFonts w:ascii="Times New Roman" w:hAnsi="Times New Roman"/>
        </w:rPr>
        <w:t>all</w:t>
      </w:r>
      <w:r w:rsidR="0020292E">
        <w:rPr>
          <w:rFonts w:ascii="Times New Roman" w:hAnsi="Times New Roman"/>
        </w:rPr>
        <w:t xml:space="preserve"> </w:t>
      </w:r>
      <w:r w:rsidR="008E64AE">
        <w:rPr>
          <w:rFonts w:ascii="Times New Roman" w:hAnsi="Times New Roman"/>
        </w:rPr>
        <w:t xml:space="preserve">continue to file its Program Management Office Quarterly Report, which shall be due at the end of March, </w:t>
      </w:r>
      <w:r w:rsidR="0020292E">
        <w:rPr>
          <w:rFonts w:ascii="Times New Roman" w:hAnsi="Times New Roman"/>
        </w:rPr>
        <w:t xml:space="preserve">so that the PUC </w:t>
      </w:r>
      <w:r w:rsidR="008E64AE">
        <w:rPr>
          <w:rFonts w:ascii="Times New Roman" w:hAnsi="Times New Roman"/>
        </w:rPr>
        <w:t xml:space="preserve">can be updated on the </w:t>
      </w:r>
      <w:r w:rsidR="001F7F0E">
        <w:rPr>
          <w:rFonts w:ascii="Times New Roman" w:hAnsi="Times New Roman"/>
        </w:rPr>
        <w:t xml:space="preserve">progress of </w:t>
      </w:r>
      <w:r w:rsidR="008E64AE">
        <w:rPr>
          <w:rFonts w:ascii="Times New Roman" w:hAnsi="Times New Roman"/>
        </w:rPr>
        <w:t xml:space="preserve">projects and programs under the </w:t>
      </w:r>
      <w:proofErr w:type="spellStart"/>
      <w:r w:rsidR="008E64AE">
        <w:rPr>
          <w:rFonts w:ascii="Times New Roman" w:hAnsi="Times New Roman"/>
        </w:rPr>
        <w:t>PMO</w:t>
      </w:r>
      <w:proofErr w:type="spellEnd"/>
      <w:r w:rsidR="008E64AE">
        <w:rPr>
          <w:rFonts w:ascii="Times New Roman" w:hAnsi="Times New Roman"/>
        </w:rPr>
        <w:t xml:space="preserve"> contract.</w:t>
      </w:r>
      <w:r w:rsidR="00AF0EA9">
        <w:rPr>
          <w:rFonts w:ascii="Times New Roman" w:hAnsi="Times New Roman"/>
        </w:rPr>
        <w:t xml:space="preserve">  </w:t>
      </w:r>
    </w:p>
    <w:p w:rsidR="00AF0EA9" w:rsidRPr="00434327" w:rsidRDefault="00AF0EA9" w:rsidP="00AF0EA9">
      <w:pPr>
        <w:spacing w:line="480" w:lineRule="auto"/>
        <w:jc w:val="both"/>
        <w:rPr>
          <w:rFonts w:ascii="Times New Roman" w:hAnsi="Times New Roman"/>
        </w:rPr>
      </w:pPr>
      <w:r>
        <w:rPr>
          <w:rFonts w:ascii="Times New Roman" w:hAnsi="Times New Roman"/>
        </w:rPr>
        <w:tab/>
      </w:r>
      <w:r>
        <w:rPr>
          <w:rFonts w:ascii="Times New Roman" w:hAnsi="Times New Roman"/>
        </w:rPr>
        <w:tab/>
        <w:t xml:space="preserve">The Commission hereby adopts the findings contained in the January 24, 2017 </w:t>
      </w:r>
      <w:proofErr w:type="spellStart"/>
      <w:r>
        <w:rPr>
          <w:rFonts w:ascii="Times New Roman" w:hAnsi="Times New Roman"/>
        </w:rPr>
        <w:t>ALJ</w:t>
      </w:r>
      <w:proofErr w:type="spellEnd"/>
      <w:r>
        <w:rPr>
          <w:rFonts w:ascii="Times New Roman" w:hAnsi="Times New Roman"/>
        </w:rPr>
        <w:t xml:space="preserve"> Report and, therefore, issues the following:</w:t>
      </w:r>
    </w:p>
    <w:p w:rsidR="00AF0EA9" w:rsidRPr="00B82F68" w:rsidRDefault="00AF0EA9" w:rsidP="00AF0EA9">
      <w:pPr>
        <w:jc w:val="center"/>
        <w:rPr>
          <w:rFonts w:ascii="Times New Roman" w:hAnsi="Times New Roman"/>
          <w:b/>
          <w:u w:val="single"/>
        </w:rPr>
      </w:pPr>
      <w:r>
        <w:rPr>
          <w:rFonts w:ascii="Times New Roman" w:hAnsi="Times New Roman"/>
          <w:b/>
          <w:u w:val="single"/>
        </w:rPr>
        <w:t>ORDERING PROVISIONS</w:t>
      </w:r>
    </w:p>
    <w:p w:rsidR="00AF0EA9" w:rsidRDefault="00AF0EA9" w:rsidP="00AF0EA9">
      <w:pPr>
        <w:jc w:val="both"/>
        <w:rPr>
          <w:rFonts w:ascii="Times New Roman" w:hAnsi="Times New Roman"/>
        </w:rPr>
      </w:pPr>
    </w:p>
    <w:p w:rsidR="00AF0EA9" w:rsidRPr="008C3361" w:rsidRDefault="00AF0EA9" w:rsidP="00AF0EA9">
      <w:pPr>
        <w:spacing w:line="480" w:lineRule="auto"/>
        <w:jc w:val="both"/>
        <w:rPr>
          <w:rFonts w:ascii="Times New Roman" w:hAnsi="Times New Roman"/>
        </w:rPr>
      </w:pPr>
      <w:r w:rsidRPr="008C3361">
        <w:rPr>
          <w:rFonts w:ascii="Times New Roman" w:hAnsi="Times New Roman"/>
        </w:rPr>
        <w:tab/>
      </w:r>
      <w:r w:rsidRPr="008C3361">
        <w:rPr>
          <w:rFonts w:ascii="Times New Roman" w:hAnsi="Times New Roman"/>
        </w:rPr>
        <w:tab/>
        <w:t xml:space="preserve">After careful review and consideration of the above determinations, the </w:t>
      </w:r>
      <w:r>
        <w:rPr>
          <w:rFonts w:ascii="Times New Roman" w:hAnsi="Times New Roman"/>
        </w:rPr>
        <w:t xml:space="preserve">January 24, 2017 </w:t>
      </w:r>
      <w:proofErr w:type="spellStart"/>
      <w:r>
        <w:rPr>
          <w:rFonts w:ascii="Times New Roman" w:hAnsi="Times New Roman"/>
        </w:rPr>
        <w:t>ALJ</w:t>
      </w:r>
      <w:proofErr w:type="spellEnd"/>
      <w:r>
        <w:rPr>
          <w:rFonts w:ascii="Times New Roman" w:hAnsi="Times New Roman"/>
        </w:rPr>
        <w:t xml:space="preserve"> Report</w:t>
      </w:r>
      <w:r w:rsidRPr="008C3361">
        <w:rPr>
          <w:rFonts w:ascii="Times New Roman" w:hAnsi="Times New Roman"/>
        </w:rPr>
        <w:t>, and the record herein, for good cause shown, on motion duly made, seconded and carried by the undersigned Commissioners, the Guam Public Utilities Commission hereby ORDERS the following:</w:t>
      </w:r>
    </w:p>
    <w:p w:rsidR="00AF0EA9" w:rsidRDefault="00AF0EA9" w:rsidP="00AF0EA9">
      <w:pPr>
        <w:numPr>
          <w:ilvl w:val="0"/>
          <w:numId w:val="7"/>
        </w:numPr>
        <w:spacing w:line="480" w:lineRule="auto"/>
        <w:ind w:left="0" w:firstLine="1440"/>
        <w:jc w:val="both"/>
        <w:rPr>
          <w:rFonts w:ascii="Times New Roman" w:eastAsia="Times New Roman" w:hAnsi="Times New Roman"/>
        </w:rPr>
      </w:pPr>
      <w:r w:rsidRPr="00787A3E">
        <w:rPr>
          <w:rFonts w:ascii="Times New Roman" w:eastAsia="Times New Roman" w:hAnsi="Times New Roman"/>
        </w:rPr>
        <w:t xml:space="preserve">That </w:t>
      </w:r>
      <w:proofErr w:type="spellStart"/>
      <w:r w:rsidRPr="00787A3E">
        <w:rPr>
          <w:rFonts w:ascii="Times New Roman" w:eastAsia="Times New Roman" w:hAnsi="Times New Roman"/>
        </w:rPr>
        <w:t>GWA’s</w:t>
      </w:r>
      <w:proofErr w:type="spellEnd"/>
      <w:r w:rsidRPr="00787A3E">
        <w:rPr>
          <w:rFonts w:ascii="Times New Roman" w:eastAsia="Times New Roman" w:hAnsi="Times New Roman"/>
        </w:rPr>
        <w:t xml:space="preserve"> </w:t>
      </w:r>
      <w:r>
        <w:rPr>
          <w:rFonts w:ascii="Times New Roman" w:eastAsia="Times New Roman" w:hAnsi="Times New Roman"/>
        </w:rPr>
        <w:t>January 5, 2017</w:t>
      </w:r>
      <w:r w:rsidRPr="00787A3E">
        <w:rPr>
          <w:rFonts w:ascii="Times New Roman" w:eastAsia="Times New Roman" w:hAnsi="Times New Roman"/>
        </w:rPr>
        <w:t xml:space="preserve"> Petition for </w:t>
      </w:r>
      <w:r>
        <w:rPr>
          <w:rFonts w:ascii="Times New Roman" w:eastAsia="Times New Roman" w:hAnsi="Times New Roman"/>
        </w:rPr>
        <w:t xml:space="preserve">approval of the remaining half of the </w:t>
      </w:r>
      <w:r w:rsidRPr="00DE3B47">
        <w:rPr>
          <w:rFonts w:ascii="Times New Roman" w:eastAsia="Times New Roman" w:hAnsi="Times New Roman"/>
        </w:rPr>
        <w:t>$</w:t>
      </w:r>
      <w:r w:rsidRPr="00BA709D">
        <w:rPr>
          <w:rFonts w:ascii="Times New Roman" w:eastAsia="Times New Roman" w:hAnsi="Times New Roman"/>
        </w:rPr>
        <w:t>4,059,877.00</w:t>
      </w:r>
      <w:r>
        <w:rPr>
          <w:rFonts w:ascii="Times New Roman" w:eastAsia="Times New Roman" w:hAnsi="Times New Roman"/>
        </w:rPr>
        <w:t xml:space="preserve"> (or $2,029,938.50) increase in </w:t>
      </w:r>
      <w:proofErr w:type="spellStart"/>
      <w:r>
        <w:rPr>
          <w:rFonts w:ascii="Times New Roman" w:eastAsia="Times New Roman" w:hAnsi="Times New Roman"/>
        </w:rPr>
        <w:t>GWA’s</w:t>
      </w:r>
      <w:proofErr w:type="spellEnd"/>
      <w:r>
        <w:rPr>
          <w:rFonts w:ascii="Times New Roman" w:eastAsia="Times New Roman" w:hAnsi="Times New Roman"/>
        </w:rPr>
        <w:t xml:space="preserve"> </w:t>
      </w:r>
      <w:proofErr w:type="spellStart"/>
      <w:r>
        <w:rPr>
          <w:rFonts w:ascii="Times New Roman" w:eastAsia="Times New Roman" w:hAnsi="Times New Roman"/>
        </w:rPr>
        <w:t>PMO</w:t>
      </w:r>
      <w:proofErr w:type="spellEnd"/>
      <w:r w:rsidRPr="00787A3E">
        <w:rPr>
          <w:rFonts w:ascii="Times New Roman" w:eastAsia="Times New Roman" w:hAnsi="Times New Roman"/>
        </w:rPr>
        <w:t xml:space="preserve"> contract with </w:t>
      </w:r>
      <w:r>
        <w:rPr>
          <w:rFonts w:ascii="Times New Roman" w:eastAsia="Times New Roman" w:hAnsi="Times New Roman"/>
        </w:rPr>
        <w:t xml:space="preserve">Brown &amp; Caldwell </w:t>
      </w:r>
      <w:r w:rsidRPr="00787A3E">
        <w:rPr>
          <w:rFonts w:ascii="Times New Roman" w:eastAsia="Times New Roman" w:hAnsi="Times New Roman"/>
        </w:rPr>
        <w:t xml:space="preserve">is </w:t>
      </w:r>
      <w:r>
        <w:rPr>
          <w:rFonts w:ascii="Times New Roman" w:eastAsia="Times New Roman" w:hAnsi="Times New Roman"/>
        </w:rPr>
        <w:t xml:space="preserve">GRANTED; </w:t>
      </w:r>
      <w:proofErr w:type="spellStart"/>
      <w:r>
        <w:rPr>
          <w:rFonts w:ascii="Times New Roman" w:eastAsia="Times New Roman" w:hAnsi="Times New Roman"/>
        </w:rPr>
        <w:t>GWA</w:t>
      </w:r>
      <w:proofErr w:type="spellEnd"/>
      <w:r>
        <w:rPr>
          <w:rFonts w:ascii="Times New Roman" w:eastAsia="Times New Roman" w:hAnsi="Times New Roman"/>
        </w:rPr>
        <w:t xml:space="preserve"> is therefore authorized to increase its contract with Brown &amp; Caldwell for an amount not to exceed half of </w:t>
      </w:r>
      <w:r w:rsidRPr="00DE3B47">
        <w:rPr>
          <w:rFonts w:ascii="Times New Roman" w:eastAsia="Times New Roman" w:hAnsi="Times New Roman"/>
        </w:rPr>
        <w:t>$</w:t>
      </w:r>
      <w:r w:rsidRPr="00BA709D">
        <w:rPr>
          <w:rFonts w:ascii="Times New Roman" w:eastAsia="Times New Roman" w:hAnsi="Times New Roman"/>
        </w:rPr>
        <w:t>4,059,877.00</w:t>
      </w:r>
      <w:r>
        <w:rPr>
          <w:rFonts w:ascii="Times New Roman" w:eastAsia="Times New Roman" w:hAnsi="Times New Roman"/>
        </w:rPr>
        <w:t xml:space="preserve"> (or $2,029,938.50)</w:t>
      </w:r>
      <w:r w:rsidRPr="00787A3E">
        <w:rPr>
          <w:rFonts w:ascii="Times New Roman" w:eastAsia="Times New Roman" w:hAnsi="Times New Roman"/>
        </w:rPr>
        <w:t>.</w:t>
      </w:r>
    </w:p>
    <w:p w:rsidR="00AF0EA9" w:rsidRDefault="00AF0EA9" w:rsidP="00AF0EA9">
      <w:pPr>
        <w:numPr>
          <w:ilvl w:val="0"/>
          <w:numId w:val="7"/>
        </w:numPr>
        <w:spacing w:line="480" w:lineRule="auto"/>
        <w:ind w:left="0" w:firstLine="1440"/>
        <w:jc w:val="both"/>
        <w:rPr>
          <w:rFonts w:ascii="Times New Roman" w:eastAsia="Times New Roman" w:hAnsi="Times New Roman"/>
        </w:rPr>
      </w:pPr>
      <w:proofErr w:type="spellStart"/>
      <w:r>
        <w:rPr>
          <w:rFonts w:ascii="Times New Roman" w:eastAsia="Times New Roman" w:hAnsi="Times New Roman"/>
        </w:rPr>
        <w:lastRenderedPageBreak/>
        <w:t>GWA</w:t>
      </w:r>
      <w:proofErr w:type="spellEnd"/>
      <w:r>
        <w:rPr>
          <w:rFonts w:ascii="Times New Roman" w:eastAsia="Times New Roman" w:hAnsi="Times New Roman"/>
        </w:rPr>
        <w:t xml:space="preserve"> shall </w:t>
      </w:r>
      <w:r>
        <w:rPr>
          <w:rFonts w:ascii="Times New Roman" w:hAnsi="Times New Roman"/>
        </w:rPr>
        <w:t xml:space="preserve">continue to file its Program Management Office Quarterly Report, </w:t>
      </w:r>
      <w:r w:rsidR="00DC4C5D">
        <w:rPr>
          <w:rFonts w:ascii="Times New Roman" w:hAnsi="Times New Roman"/>
        </w:rPr>
        <w:t xml:space="preserve">the first of </w:t>
      </w:r>
      <w:r>
        <w:rPr>
          <w:rFonts w:ascii="Times New Roman" w:hAnsi="Times New Roman"/>
        </w:rPr>
        <w:t xml:space="preserve">which </w:t>
      </w:r>
      <w:r w:rsidR="00DC4C5D">
        <w:rPr>
          <w:rFonts w:ascii="Times New Roman" w:hAnsi="Times New Roman"/>
        </w:rPr>
        <w:t xml:space="preserve">in 2017 </w:t>
      </w:r>
      <w:r>
        <w:rPr>
          <w:rFonts w:ascii="Times New Roman" w:hAnsi="Times New Roman"/>
        </w:rPr>
        <w:t>sh</w:t>
      </w:r>
      <w:r w:rsidR="00DC4C5D">
        <w:rPr>
          <w:rFonts w:ascii="Times New Roman" w:hAnsi="Times New Roman"/>
        </w:rPr>
        <w:t>all be due at the end of March.</w:t>
      </w:r>
    </w:p>
    <w:p w:rsidR="00AF0EA9" w:rsidRDefault="00AF0EA9" w:rsidP="00AF0EA9">
      <w:pPr>
        <w:numPr>
          <w:ilvl w:val="0"/>
          <w:numId w:val="7"/>
        </w:numPr>
        <w:spacing w:line="480" w:lineRule="auto"/>
        <w:ind w:left="0" w:firstLine="1440"/>
        <w:jc w:val="both"/>
        <w:rPr>
          <w:rFonts w:ascii="Times New Roman" w:hAnsi="Times New Roman"/>
        </w:rPr>
      </w:pPr>
      <w:proofErr w:type="spellStart"/>
      <w:r w:rsidRPr="008C3361">
        <w:rPr>
          <w:rFonts w:ascii="Times New Roman" w:hAnsi="Times New Roman"/>
        </w:rPr>
        <w:t>GWA</w:t>
      </w:r>
      <w:proofErr w:type="spellEnd"/>
      <w:r w:rsidRPr="008C3361">
        <w:rPr>
          <w:rFonts w:ascii="Times New Roman" w:hAnsi="Times New Roman"/>
        </w:rPr>
        <w:t xml:space="preserve"> is ordered to pay the Commission’s regulatory fees and expenses, including, without limitation, consulting and counsel fees and the fees and expenses associated with the instant </w:t>
      </w:r>
      <w:r>
        <w:rPr>
          <w:rFonts w:ascii="Times New Roman" w:hAnsi="Times New Roman"/>
        </w:rPr>
        <w:t>proceeding</w:t>
      </w:r>
      <w:r w:rsidRPr="008C3361">
        <w:rPr>
          <w:rFonts w:ascii="Times New Roman" w:hAnsi="Times New Roman"/>
        </w:rPr>
        <w:t xml:space="preserve">.  Assessment of the PUC’s regulatory fees and expenses is authorized pursuant to 12 </w:t>
      </w:r>
      <w:proofErr w:type="spellStart"/>
      <w:r w:rsidRPr="008C3361">
        <w:rPr>
          <w:rFonts w:ascii="Times New Roman" w:hAnsi="Times New Roman"/>
        </w:rPr>
        <w:t>G.C.A.</w:t>
      </w:r>
      <w:proofErr w:type="spellEnd"/>
      <w:r w:rsidRPr="008C3361">
        <w:rPr>
          <w:rFonts w:ascii="Times New Roman" w:hAnsi="Times New Roman"/>
        </w:rPr>
        <w:t xml:space="preserve"> §§</w:t>
      </w:r>
      <w:r>
        <w:rPr>
          <w:rFonts w:ascii="Times New Roman" w:hAnsi="Times New Roman"/>
        </w:rPr>
        <w:t xml:space="preserve"> </w:t>
      </w:r>
      <w:r w:rsidRPr="008C3361">
        <w:rPr>
          <w:rFonts w:ascii="Times New Roman" w:hAnsi="Times New Roman"/>
        </w:rPr>
        <w:t>12002(b), 12024(b)</w:t>
      </w:r>
      <w:r>
        <w:rPr>
          <w:rFonts w:ascii="Times New Roman" w:hAnsi="Times New Roman"/>
        </w:rPr>
        <w:t xml:space="preserve"> </w:t>
      </w:r>
      <w:r w:rsidRPr="002E67B3">
        <w:rPr>
          <w:rFonts w:ascii="Times New Roman" w:eastAsia="Times New Roman" w:hAnsi="Times New Roman"/>
        </w:rPr>
        <w:t xml:space="preserve">(renumbered as 12 </w:t>
      </w:r>
      <w:proofErr w:type="spellStart"/>
      <w:r w:rsidRPr="002E67B3">
        <w:rPr>
          <w:rFonts w:ascii="Times New Roman" w:eastAsia="Times New Roman" w:hAnsi="Times New Roman"/>
        </w:rPr>
        <w:t>G.C.A.</w:t>
      </w:r>
      <w:proofErr w:type="spellEnd"/>
      <w:r w:rsidRPr="002E67B3">
        <w:rPr>
          <w:rFonts w:ascii="Times New Roman" w:eastAsia="Times New Roman" w:hAnsi="Times New Roman"/>
        </w:rPr>
        <w:t xml:space="preserve"> §§ 12103(b) and 12125(b))</w:t>
      </w:r>
      <w:r w:rsidRPr="008C3361">
        <w:rPr>
          <w:rFonts w:ascii="Times New Roman" w:hAnsi="Times New Roman"/>
        </w:rPr>
        <w:t>, and Rule 40 of the Rules of Practice and Procedure before the Public Utilities Commission.</w:t>
      </w:r>
    </w:p>
    <w:p w:rsidR="00DC4C5D" w:rsidRDefault="00DC4C5D" w:rsidP="00DC4C5D">
      <w:pPr>
        <w:spacing w:line="480" w:lineRule="auto"/>
        <w:jc w:val="both"/>
        <w:rPr>
          <w:rFonts w:ascii="Times New Roman" w:hAnsi="Times New Roman"/>
        </w:rPr>
      </w:pPr>
    </w:p>
    <w:p w:rsidR="00DC4C5D" w:rsidRDefault="00DC4C5D" w:rsidP="00DC4C5D">
      <w:pPr>
        <w:spacing w:line="480" w:lineRule="auto"/>
        <w:jc w:val="center"/>
        <w:rPr>
          <w:rFonts w:ascii="Times New Roman" w:hAnsi="Times New Roman"/>
        </w:rPr>
      </w:pPr>
      <w:r>
        <w:rPr>
          <w:rFonts w:ascii="Times New Roman" w:hAnsi="Times New Roman"/>
        </w:rPr>
        <w:t>[SIGNATURES TO FOLLOW ON NEXT PAGE]</w:t>
      </w:r>
    </w:p>
    <w:p w:rsidR="00DC4C5D" w:rsidRDefault="00DC4C5D" w:rsidP="00DC4C5D">
      <w:pPr>
        <w:spacing w:line="480" w:lineRule="auto"/>
        <w:rPr>
          <w:rFonts w:ascii="Times New Roman" w:hAnsi="Times New Roman"/>
        </w:rPr>
      </w:pPr>
    </w:p>
    <w:p w:rsidR="00DC4C5D" w:rsidRDefault="00DC4C5D" w:rsidP="00DC4C5D">
      <w:pPr>
        <w:spacing w:line="480" w:lineRule="auto"/>
        <w:rPr>
          <w:rFonts w:ascii="Times New Roman" w:hAnsi="Times New Roman"/>
        </w:rPr>
      </w:pPr>
    </w:p>
    <w:p w:rsidR="00DC4C5D" w:rsidRDefault="00DC4C5D" w:rsidP="00DC4C5D">
      <w:pPr>
        <w:spacing w:line="480" w:lineRule="auto"/>
        <w:rPr>
          <w:rFonts w:ascii="Times New Roman" w:hAnsi="Times New Roman"/>
        </w:rPr>
      </w:pPr>
      <w:r>
        <w:rPr>
          <w:rFonts w:ascii="Times New Roman" w:hAnsi="Times New Roman"/>
        </w:rPr>
        <w:t>/  /</w:t>
      </w:r>
    </w:p>
    <w:p w:rsidR="00DC4C5D" w:rsidRDefault="00DC4C5D" w:rsidP="00DC4C5D">
      <w:pPr>
        <w:spacing w:line="480" w:lineRule="auto"/>
        <w:rPr>
          <w:rFonts w:ascii="Times New Roman" w:hAnsi="Times New Roman"/>
        </w:rPr>
      </w:pPr>
    </w:p>
    <w:p w:rsidR="00DC4C5D" w:rsidRDefault="00DC4C5D" w:rsidP="00DC4C5D">
      <w:pPr>
        <w:spacing w:line="480" w:lineRule="auto"/>
        <w:rPr>
          <w:rFonts w:ascii="Times New Roman" w:hAnsi="Times New Roman"/>
        </w:rPr>
      </w:pPr>
    </w:p>
    <w:p w:rsidR="00DC4C5D" w:rsidRDefault="00DC4C5D" w:rsidP="00DC4C5D">
      <w:pPr>
        <w:spacing w:line="480" w:lineRule="auto"/>
        <w:rPr>
          <w:rFonts w:ascii="Times New Roman" w:hAnsi="Times New Roman"/>
        </w:rPr>
      </w:pPr>
      <w:r>
        <w:rPr>
          <w:rFonts w:ascii="Times New Roman" w:hAnsi="Times New Roman"/>
        </w:rPr>
        <w:t>/  /</w:t>
      </w:r>
    </w:p>
    <w:p w:rsidR="00DC4C5D" w:rsidRDefault="00DC4C5D" w:rsidP="00DC4C5D">
      <w:pPr>
        <w:spacing w:line="480" w:lineRule="auto"/>
        <w:rPr>
          <w:rFonts w:ascii="Times New Roman" w:hAnsi="Times New Roman"/>
        </w:rPr>
      </w:pPr>
    </w:p>
    <w:p w:rsidR="00DC4C5D" w:rsidRDefault="00DC4C5D" w:rsidP="00DC4C5D">
      <w:pPr>
        <w:spacing w:line="480" w:lineRule="auto"/>
        <w:rPr>
          <w:rFonts w:ascii="Times New Roman" w:hAnsi="Times New Roman"/>
        </w:rPr>
      </w:pPr>
    </w:p>
    <w:p w:rsidR="00DC4C5D" w:rsidRDefault="00DC4C5D" w:rsidP="00DC4C5D">
      <w:pPr>
        <w:spacing w:line="480" w:lineRule="auto"/>
        <w:rPr>
          <w:rFonts w:ascii="Times New Roman" w:hAnsi="Times New Roman"/>
        </w:rPr>
      </w:pPr>
      <w:r>
        <w:rPr>
          <w:rFonts w:ascii="Times New Roman" w:hAnsi="Times New Roman"/>
        </w:rPr>
        <w:t>/  /</w:t>
      </w:r>
    </w:p>
    <w:p w:rsidR="00DC4C5D" w:rsidRDefault="00DC4C5D" w:rsidP="00DC4C5D">
      <w:pPr>
        <w:spacing w:line="480" w:lineRule="auto"/>
        <w:rPr>
          <w:rFonts w:ascii="Times New Roman" w:hAnsi="Times New Roman"/>
        </w:rPr>
      </w:pPr>
    </w:p>
    <w:p w:rsidR="00DC4C5D" w:rsidRDefault="00DC4C5D" w:rsidP="00DC4C5D">
      <w:pPr>
        <w:spacing w:line="480" w:lineRule="auto"/>
        <w:rPr>
          <w:rFonts w:ascii="Times New Roman" w:hAnsi="Times New Roman"/>
        </w:rPr>
      </w:pPr>
    </w:p>
    <w:p w:rsidR="00DC4C5D" w:rsidRDefault="00DC4C5D" w:rsidP="00DC4C5D">
      <w:pPr>
        <w:spacing w:line="480" w:lineRule="auto"/>
        <w:rPr>
          <w:rFonts w:ascii="Times New Roman" w:hAnsi="Times New Roman"/>
        </w:rPr>
      </w:pPr>
      <w:r>
        <w:rPr>
          <w:rFonts w:ascii="Times New Roman" w:hAnsi="Times New Roman"/>
        </w:rPr>
        <w:t>/  /</w:t>
      </w:r>
    </w:p>
    <w:p w:rsidR="00AF0EA9" w:rsidRPr="00D7167B" w:rsidRDefault="00AF0EA9" w:rsidP="00DC4C5D">
      <w:pPr>
        <w:spacing w:line="480" w:lineRule="auto"/>
        <w:jc w:val="both"/>
        <w:rPr>
          <w:rFonts w:ascii="Times New Roman" w:eastAsia="MS Mincho" w:hAnsi="Times New Roman"/>
        </w:rPr>
      </w:pPr>
      <w:r>
        <w:rPr>
          <w:rFonts w:ascii="Times New Roman" w:hAnsi="Times New Roman"/>
        </w:rPr>
        <w:br w:type="page"/>
      </w:r>
      <w:r w:rsidR="00DC4C5D">
        <w:rPr>
          <w:rFonts w:ascii="Times New Roman" w:hAnsi="Times New Roman"/>
        </w:rPr>
        <w:lastRenderedPageBreak/>
        <w:tab/>
      </w:r>
      <w:r w:rsidR="00DC4C5D">
        <w:rPr>
          <w:rFonts w:ascii="Times New Roman" w:hAnsi="Times New Roman"/>
        </w:rPr>
        <w:tab/>
      </w:r>
      <w:proofErr w:type="gramStart"/>
      <w:r w:rsidRPr="00D7167B">
        <w:rPr>
          <w:rFonts w:ascii="Times New Roman" w:eastAsia="MS Mincho" w:hAnsi="Times New Roman"/>
          <w:b/>
        </w:rPr>
        <w:t>SO ORDERED</w:t>
      </w:r>
      <w:r w:rsidRPr="00D7167B">
        <w:rPr>
          <w:rFonts w:ascii="Times New Roman" w:eastAsia="MS Mincho" w:hAnsi="Times New Roman"/>
        </w:rPr>
        <w:t xml:space="preserve"> this </w:t>
      </w:r>
      <w:r>
        <w:rPr>
          <w:rFonts w:ascii="Times New Roman" w:eastAsia="MS Mincho" w:hAnsi="Times New Roman"/>
        </w:rPr>
        <w:t>2</w:t>
      </w:r>
      <w:r w:rsidR="00DC4C5D">
        <w:rPr>
          <w:rFonts w:ascii="Times New Roman" w:eastAsia="MS Mincho" w:hAnsi="Times New Roman"/>
        </w:rPr>
        <w:t>6</w:t>
      </w:r>
      <w:r>
        <w:rPr>
          <w:rFonts w:ascii="Times New Roman" w:eastAsia="MS Mincho" w:hAnsi="Times New Roman"/>
          <w:vertAlign w:val="superscript"/>
        </w:rPr>
        <w:t>th</w:t>
      </w:r>
      <w:r>
        <w:rPr>
          <w:rFonts w:ascii="Times New Roman" w:eastAsia="MS Mincho" w:hAnsi="Times New Roman"/>
        </w:rPr>
        <w:t xml:space="preserve"> </w:t>
      </w:r>
      <w:r w:rsidRPr="00D7167B">
        <w:rPr>
          <w:rFonts w:ascii="Times New Roman" w:eastAsia="MS Mincho" w:hAnsi="Times New Roman"/>
        </w:rPr>
        <w:t xml:space="preserve">day of </w:t>
      </w:r>
      <w:r w:rsidR="00DC4C5D">
        <w:rPr>
          <w:rFonts w:ascii="Times New Roman" w:eastAsia="MS Mincho" w:hAnsi="Times New Roman"/>
        </w:rPr>
        <w:t>January</w:t>
      </w:r>
      <w:r w:rsidRPr="00D7167B">
        <w:rPr>
          <w:rFonts w:ascii="Times New Roman" w:eastAsia="MS Mincho" w:hAnsi="Times New Roman"/>
        </w:rPr>
        <w:t>, 201</w:t>
      </w:r>
      <w:r w:rsidR="00DC4C5D">
        <w:rPr>
          <w:rFonts w:ascii="Times New Roman" w:eastAsia="MS Mincho" w:hAnsi="Times New Roman"/>
        </w:rPr>
        <w:t>7</w:t>
      </w:r>
      <w:r w:rsidRPr="00D7167B">
        <w:rPr>
          <w:rFonts w:ascii="Times New Roman" w:eastAsia="MS Mincho" w:hAnsi="Times New Roman"/>
        </w:rPr>
        <w:t>.</w:t>
      </w:r>
      <w:proofErr w:type="gramEnd"/>
      <w:r w:rsidRPr="00D7167B">
        <w:rPr>
          <w:rFonts w:ascii="Times New Roman" w:eastAsia="MS Mincho" w:hAnsi="Times New Roman"/>
        </w:rPr>
        <w:t xml:space="preserve">  </w:t>
      </w:r>
    </w:p>
    <w:p w:rsidR="00AF0EA9" w:rsidRPr="00D7167B" w:rsidRDefault="00AF0EA9" w:rsidP="00AF0EA9">
      <w:pPr>
        <w:widowControl w:val="0"/>
        <w:kinsoku w:val="0"/>
        <w:jc w:val="both"/>
        <w:rPr>
          <w:rFonts w:ascii="Times New Roman" w:eastAsia="MS Mincho" w:hAnsi="Times New Roman"/>
        </w:rPr>
      </w:pPr>
    </w:p>
    <w:p w:rsidR="00AF0EA9" w:rsidRDefault="00AF0EA9" w:rsidP="00AF0EA9">
      <w:pPr>
        <w:jc w:val="both"/>
        <w:rPr>
          <w:rFonts w:ascii="Times New Roman" w:eastAsia="Times New Roman" w:hAnsi="Times New Roman"/>
          <w:bCs/>
        </w:rPr>
      </w:pPr>
    </w:p>
    <w:p w:rsidR="00AF0EA9" w:rsidRDefault="00AF0EA9" w:rsidP="00AF0EA9">
      <w:pPr>
        <w:jc w:val="both"/>
        <w:rPr>
          <w:rFonts w:ascii="Times New Roman" w:eastAsia="Times New Roman" w:hAnsi="Times New Roman"/>
          <w:bCs/>
        </w:rPr>
      </w:pPr>
    </w:p>
    <w:p w:rsidR="00AF0EA9" w:rsidRPr="00D7167B" w:rsidRDefault="00AF0EA9" w:rsidP="00AF0EA9">
      <w:pPr>
        <w:jc w:val="both"/>
        <w:rPr>
          <w:rFonts w:ascii="Times New Roman" w:eastAsia="Times New Roman" w:hAnsi="Times New Roman"/>
          <w:bCs/>
        </w:rPr>
      </w:pPr>
    </w:p>
    <w:p w:rsidR="00AF0EA9" w:rsidRPr="00D7167B" w:rsidRDefault="00AF0EA9" w:rsidP="00AF0EA9">
      <w:pPr>
        <w:jc w:val="both"/>
        <w:rPr>
          <w:rFonts w:ascii="Times New Roman" w:eastAsia="Times New Roman" w:hAnsi="Times New Roman"/>
          <w:bCs/>
        </w:rPr>
      </w:pPr>
      <w:r w:rsidRPr="00D7167B">
        <w:rPr>
          <w:rFonts w:ascii="Times New Roman" w:eastAsia="Times New Roman" w:hAnsi="Times New Roman"/>
          <w:bCs/>
          <w:u w:val="single"/>
        </w:rPr>
        <w:tab/>
      </w:r>
      <w:r w:rsidRPr="00D7167B">
        <w:rPr>
          <w:rFonts w:ascii="Times New Roman" w:eastAsia="Times New Roman" w:hAnsi="Times New Roman"/>
          <w:bCs/>
          <w:u w:val="single"/>
        </w:rPr>
        <w:tab/>
      </w:r>
      <w:r w:rsidRPr="00D7167B">
        <w:rPr>
          <w:rFonts w:ascii="Times New Roman" w:eastAsia="Times New Roman" w:hAnsi="Times New Roman"/>
          <w:bCs/>
          <w:u w:val="single"/>
        </w:rPr>
        <w:tab/>
      </w:r>
      <w:r w:rsidRPr="00D7167B">
        <w:rPr>
          <w:rFonts w:ascii="Times New Roman" w:eastAsia="Times New Roman" w:hAnsi="Times New Roman"/>
          <w:bCs/>
          <w:u w:val="single"/>
        </w:rPr>
        <w:tab/>
      </w:r>
      <w:r w:rsidRPr="00D7167B">
        <w:rPr>
          <w:rFonts w:ascii="Times New Roman" w:eastAsia="Times New Roman" w:hAnsi="Times New Roman"/>
          <w:bCs/>
          <w:u w:val="single"/>
        </w:rPr>
        <w:tab/>
      </w:r>
      <w:r w:rsidRPr="00D7167B">
        <w:rPr>
          <w:rFonts w:ascii="Times New Roman" w:eastAsia="Times New Roman" w:hAnsi="Times New Roman"/>
          <w:bCs/>
        </w:rPr>
        <w:tab/>
      </w:r>
      <w:r w:rsidRPr="00D7167B">
        <w:rPr>
          <w:rFonts w:ascii="Times New Roman" w:eastAsia="Times New Roman" w:hAnsi="Times New Roman"/>
          <w:bCs/>
        </w:rPr>
        <w:tab/>
      </w:r>
      <w:r w:rsidRPr="00D7167B">
        <w:rPr>
          <w:rFonts w:ascii="Times New Roman" w:eastAsia="Times New Roman" w:hAnsi="Times New Roman"/>
          <w:bCs/>
          <w:u w:val="single"/>
        </w:rPr>
        <w:tab/>
      </w:r>
      <w:r w:rsidRPr="00D7167B">
        <w:rPr>
          <w:rFonts w:ascii="Times New Roman" w:eastAsia="Times New Roman" w:hAnsi="Times New Roman"/>
          <w:bCs/>
          <w:u w:val="single"/>
        </w:rPr>
        <w:tab/>
      </w:r>
      <w:r w:rsidRPr="00D7167B">
        <w:rPr>
          <w:rFonts w:ascii="Times New Roman" w:eastAsia="Times New Roman" w:hAnsi="Times New Roman"/>
          <w:bCs/>
          <w:u w:val="single"/>
        </w:rPr>
        <w:tab/>
      </w:r>
      <w:r w:rsidRPr="00D7167B">
        <w:rPr>
          <w:rFonts w:ascii="Times New Roman" w:eastAsia="Times New Roman" w:hAnsi="Times New Roman"/>
          <w:bCs/>
          <w:u w:val="single"/>
        </w:rPr>
        <w:tab/>
      </w:r>
      <w:r w:rsidRPr="00D7167B">
        <w:rPr>
          <w:rFonts w:ascii="Times New Roman" w:eastAsia="Times New Roman" w:hAnsi="Times New Roman"/>
          <w:bCs/>
          <w:u w:val="single"/>
        </w:rPr>
        <w:tab/>
      </w:r>
    </w:p>
    <w:p w:rsidR="00AF0EA9" w:rsidRPr="00D7167B" w:rsidRDefault="00AF0EA9" w:rsidP="00AF0EA9">
      <w:pPr>
        <w:jc w:val="both"/>
        <w:rPr>
          <w:rFonts w:ascii="Times New Roman" w:eastAsia="Times New Roman" w:hAnsi="Times New Roman"/>
          <w:b/>
          <w:bCs/>
        </w:rPr>
      </w:pPr>
      <w:r w:rsidRPr="00D7167B">
        <w:rPr>
          <w:rFonts w:ascii="Times New Roman" w:eastAsia="Times New Roman" w:hAnsi="Times New Roman"/>
          <w:b/>
          <w:bCs/>
        </w:rPr>
        <w:t>JEFFREY C. JOHNSON</w:t>
      </w:r>
      <w:r w:rsidRPr="00D7167B">
        <w:rPr>
          <w:rFonts w:ascii="Times New Roman" w:eastAsia="Times New Roman" w:hAnsi="Times New Roman"/>
          <w:bCs/>
        </w:rPr>
        <w:tab/>
      </w:r>
      <w:r w:rsidRPr="00D7167B">
        <w:rPr>
          <w:rFonts w:ascii="Times New Roman" w:eastAsia="Times New Roman" w:hAnsi="Times New Roman"/>
          <w:bCs/>
        </w:rPr>
        <w:tab/>
      </w:r>
      <w:r w:rsidRPr="00D7167B">
        <w:rPr>
          <w:rFonts w:ascii="Times New Roman" w:eastAsia="Times New Roman" w:hAnsi="Times New Roman"/>
          <w:bCs/>
        </w:rPr>
        <w:tab/>
      </w:r>
      <w:r w:rsidRPr="00D7167B">
        <w:rPr>
          <w:rFonts w:ascii="Times New Roman" w:eastAsia="Times New Roman" w:hAnsi="Times New Roman"/>
          <w:bCs/>
        </w:rPr>
        <w:tab/>
      </w:r>
      <w:r w:rsidRPr="00D7167B">
        <w:rPr>
          <w:rFonts w:ascii="Times New Roman" w:eastAsia="Times New Roman" w:hAnsi="Times New Roman"/>
          <w:b/>
          <w:bCs/>
        </w:rPr>
        <w:t xml:space="preserve">ROWENA E. PEREZ </w:t>
      </w:r>
    </w:p>
    <w:p w:rsidR="00AF0EA9" w:rsidRPr="00D7167B" w:rsidRDefault="00AF0EA9" w:rsidP="00AF0EA9">
      <w:pPr>
        <w:jc w:val="both"/>
        <w:rPr>
          <w:rFonts w:ascii="Times New Roman" w:eastAsia="Times New Roman" w:hAnsi="Times New Roman"/>
          <w:bCs/>
        </w:rPr>
      </w:pPr>
      <w:r w:rsidRPr="00D7167B">
        <w:rPr>
          <w:rFonts w:ascii="Times New Roman" w:eastAsia="Times New Roman" w:hAnsi="Times New Roman"/>
          <w:bCs/>
        </w:rPr>
        <w:t>Chairman</w:t>
      </w:r>
      <w:r w:rsidRPr="00D7167B">
        <w:rPr>
          <w:rFonts w:ascii="Times New Roman" w:eastAsia="Times New Roman" w:hAnsi="Times New Roman"/>
          <w:bCs/>
        </w:rPr>
        <w:tab/>
      </w:r>
      <w:r w:rsidRPr="00D7167B">
        <w:rPr>
          <w:rFonts w:ascii="Times New Roman" w:eastAsia="Times New Roman" w:hAnsi="Times New Roman"/>
          <w:bCs/>
        </w:rPr>
        <w:tab/>
      </w:r>
      <w:r w:rsidRPr="00D7167B">
        <w:rPr>
          <w:rFonts w:ascii="Times New Roman" w:eastAsia="Times New Roman" w:hAnsi="Times New Roman"/>
          <w:bCs/>
        </w:rPr>
        <w:tab/>
      </w:r>
      <w:r w:rsidRPr="00D7167B">
        <w:rPr>
          <w:rFonts w:ascii="Times New Roman" w:eastAsia="Times New Roman" w:hAnsi="Times New Roman"/>
          <w:bCs/>
        </w:rPr>
        <w:tab/>
      </w:r>
      <w:r w:rsidRPr="00D7167B">
        <w:rPr>
          <w:rFonts w:ascii="Times New Roman" w:eastAsia="Times New Roman" w:hAnsi="Times New Roman"/>
          <w:bCs/>
        </w:rPr>
        <w:tab/>
      </w:r>
      <w:r w:rsidRPr="00D7167B">
        <w:rPr>
          <w:rFonts w:ascii="Times New Roman" w:eastAsia="Times New Roman" w:hAnsi="Times New Roman"/>
          <w:bCs/>
        </w:rPr>
        <w:tab/>
        <w:t>Commissioner</w:t>
      </w:r>
    </w:p>
    <w:p w:rsidR="00AF0EA9" w:rsidRPr="00D7167B" w:rsidRDefault="00AF0EA9" w:rsidP="00AF0EA9">
      <w:pPr>
        <w:jc w:val="both"/>
        <w:rPr>
          <w:rFonts w:ascii="Times New Roman" w:eastAsia="Times New Roman" w:hAnsi="Times New Roman"/>
          <w:bCs/>
        </w:rPr>
      </w:pPr>
    </w:p>
    <w:p w:rsidR="00AF0EA9" w:rsidRDefault="00AF0EA9" w:rsidP="00AF0EA9">
      <w:pPr>
        <w:jc w:val="both"/>
        <w:rPr>
          <w:rFonts w:ascii="Times New Roman" w:eastAsia="Times New Roman" w:hAnsi="Times New Roman"/>
          <w:bCs/>
        </w:rPr>
      </w:pPr>
    </w:p>
    <w:p w:rsidR="00AF0EA9" w:rsidRDefault="00AF0EA9" w:rsidP="00AF0EA9">
      <w:pPr>
        <w:jc w:val="both"/>
        <w:rPr>
          <w:rFonts w:ascii="Times New Roman" w:eastAsia="Times New Roman" w:hAnsi="Times New Roman"/>
          <w:bCs/>
        </w:rPr>
      </w:pPr>
    </w:p>
    <w:p w:rsidR="00AF0EA9" w:rsidRPr="00D7167B" w:rsidRDefault="00AF0EA9" w:rsidP="00AF0EA9">
      <w:pPr>
        <w:jc w:val="both"/>
        <w:rPr>
          <w:rFonts w:ascii="Times New Roman" w:eastAsia="Times New Roman" w:hAnsi="Times New Roman"/>
          <w:bCs/>
        </w:rPr>
      </w:pPr>
    </w:p>
    <w:p w:rsidR="00AF0EA9" w:rsidRPr="00D7167B" w:rsidRDefault="00AF0EA9" w:rsidP="00AF0EA9">
      <w:pPr>
        <w:jc w:val="both"/>
        <w:rPr>
          <w:rFonts w:ascii="Times New Roman" w:eastAsia="Times New Roman" w:hAnsi="Times New Roman"/>
          <w:bCs/>
        </w:rPr>
      </w:pPr>
      <w:r w:rsidRPr="00D7167B">
        <w:rPr>
          <w:rFonts w:ascii="Times New Roman" w:eastAsia="Times New Roman" w:hAnsi="Times New Roman"/>
          <w:bCs/>
          <w:u w:val="single"/>
        </w:rPr>
        <w:tab/>
      </w:r>
      <w:r w:rsidRPr="00D7167B">
        <w:rPr>
          <w:rFonts w:ascii="Times New Roman" w:eastAsia="Times New Roman" w:hAnsi="Times New Roman"/>
          <w:bCs/>
          <w:u w:val="single"/>
        </w:rPr>
        <w:tab/>
      </w:r>
      <w:r w:rsidRPr="00D7167B">
        <w:rPr>
          <w:rFonts w:ascii="Times New Roman" w:eastAsia="Times New Roman" w:hAnsi="Times New Roman"/>
          <w:bCs/>
          <w:u w:val="single"/>
        </w:rPr>
        <w:tab/>
      </w:r>
      <w:r w:rsidRPr="00D7167B">
        <w:rPr>
          <w:rFonts w:ascii="Times New Roman" w:eastAsia="Times New Roman" w:hAnsi="Times New Roman"/>
          <w:bCs/>
          <w:u w:val="single"/>
        </w:rPr>
        <w:tab/>
      </w:r>
      <w:r w:rsidRPr="00D7167B">
        <w:rPr>
          <w:rFonts w:ascii="Times New Roman" w:eastAsia="Times New Roman" w:hAnsi="Times New Roman"/>
          <w:bCs/>
          <w:u w:val="single"/>
        </w:rPr>
        <w:tab/>
      </w:r>
      <w:r w:rsidRPr="00D7167B">
        <w:rPr>
          <w:rFonts w:ascii="Times New Roman" w:eastAsia="Times New Roman" w:hAnsi="Times New Roman"/>
          <w:bCs/>
        </w:rPr>
        <w:tab/>
      </w:r>
      <w:r w:rsidRPr="00D7167B">
        <w:rPr>
          <w:rFonts w:ascii="Times New Roman" w:eastAsia="Times New Roman" w:hAnsi="Times New Roman"/>
          <w:bCs/>
        </w:rPr>
        <w:tab/>
      </w:r>
      <w:r w:rsidRPr="00D7167B">
        <w:rPr>
          <w:rFonts w:ascii="Times New Roman" w:eastAsia="Times New Roman" w:hAnsi="Times New Roman"/>
          <w:bCs/>
          <w:u w:val="single"/>
        </w:rPr>
        <w:tab/>
      </w:r>
      <w:r w:rsidRPr="00D7167B">
        <w:rPr>
          <w:rFonts w:ascii="Times New Roman" w:eastAsia="Times New Roman" w:hAnsi="Times New Roman"/>
          <w:bCs/>
          <w:u w:val="single"/>
        </w:rPr>
        <w:tab/>
      </w:r>
      <w:r w:rsidRPr="00D7167B">
        <w:rPr>
          <w:rFonts w:ascii="Times New Roman" w:eastAsia="Times New Roman" w:hAnsi="Times New Roman"/>
          <w:bCs/>
          <w:u w:val="single"/>
        </w:rPr>
        <w:tab/>
      </w:r>
      <w:r w:rsidRPr="00D7167B">
        <w:rPr>
          <w:rFonts w:ascii="Times New Roman" w:eastAsia="Times New Roman" w:hAnsi="Times New Roman"/>
          <w:bCs/>
          <w:u w:val="single"/>
        </w:rPr>
        <w:tab/>
      </w:r>
      <w:r w:rsidRPr="00D7167B">
        <w:rPr>
          <w:rFonts w:ascii="Times New Roman" w:eastAsia="Times New Roman" w:hAnsi="Times New Roman"/>
          <w:bCs/>
          <w:u w:val="single"/>
        </w:rPr>
        <w:tab/>
      </w:r>
    </w:p>
    <w:p w:rsidR="00AF0EA9" w:rsidRPr="00D7167B" w:rsidRDefault="00AF0EA9" w:rsidP="00AF0EA9">
      <w:pPr>
        <w:jc w:val="both"/>
        <w:rPr>
          <w:rFonts w:ascii="Times New Roman" w:eastAsia="Times New Roman" w:hAnsi="Times New Roman"/>
          <w:b/>
          <w:bCs/>
        </w:rPr>
      </w:pPr>
      <w:r w:rsidRPr="00D7167B">
        <w:rPr>
          <w:rFonts w:ascii="Times New Roman" w:eastAsia="Times New Roman" w:hAnsi="Times New Roman"/>
          <w:b/>
          <w:bCs/>
        </w:rPr>
        <w:t>JOSEPH M. MCDONALD</w:t>
      </w:r>
      <w:r w:rsidRPr="00D7167B">
        <w:rPr>
          <w:rFonts w:ascii="Times New Roman" w:eastAsia="Times New Roman" w:hAnsi="Times New Roman"/>
          <w:bCs/>
        </w:rPr>
        <w:tab/>
      </w:r>
      <w:r w:rsidRPr="00D7167B">
        <w:rPr>
          <w:rFonts w:ascii="Times New Roman" w:eastAsia="Times New Roman" w:hAnsi="Times New Roman"/>
          <w:bCs/>
        </w:rPr>
        <w:tab/>
      </w:r>
      <w:r w:rsidRPr="00D7167B">
        <w:rPr>
          <w:rFonts w:ascii="Times New Roman" w:eastAsia="Times New Roman" w:hAnsi="Times New Roman"/>
          <w:bCs/>
        </w:rPr>
        <w:tab/>
      </w:r>
      <w:r w:rsidRPr="00D7167B">
        <w:rPr>
          <w:rFonts w:ascii="Times New Roman" w:eastAsia="Times New Roman" w:hAnsi="Times New Roman"/>
          <w:bCs/>
        </w:rPr>
        <w:tab/>
      </w:r>
      <w:r w:rsidRPr="00D7167B">
        <w:rPr>
          <w:rFonts w:ascii="Times New Roman" w:eastAsia="Times New Roman" w:hAnsi="Times New Roman"/>
          <w:b/>
          <w:bCs/>
        </w:rPr>
        <w:t>FILOMENA M. CANTORIA</w:t>
      </w:r>
    </w:p>
    <w:p w:rsidR="00AF0EA9" w:rsidRPr="00D7167B" w:rsidRDefault="00AF0EA9" w:rsidP="00AF0EA9">
      <w:pPr>
        <w:jc w:val="both"/>
        <w:rPr>
          <w:rFonts w:ascii="Times New Roman" w:eastAsia="Times New Roman" w:hAnsi="Times New Roman"/>
          <w:bCs/>
        </w:rPr>
      </w:pPr>
      <w:r w:rsidRPr="00D7167B">
        <w:rPr>
          <w:rFonts w:ascii="Times New Roman" w:eastAsia="Times New Roman" w:hAnsi="Times New Roman"/>
          <w:bCs/>
        </w:rPr>
        <w:t>Commissioner</w:t>
      </w:r>
      <w:r w:rsidRPr="00D7167B">
        <w:rPr>
          <w:rFonts w:ascii="Times New Roman" w:eastAsia="Times New Roman" w:hAnsi="Times New Roman"/>
          <w:bCs/>
        </w:rPr>
        <w:tab/>
      </w:r>
      <w:r w:rsidRPr="00D7167B">
        <w:rPr>
          <w:rFonts w:ascii="Times New Roman" w:eastAsia="Times New Roman" w:hAnsi="Times New Roman"/>
          <w:bCs/>
        </w:rPr>
        <w:tab/>
      </w:r>
      <w:r w:rsidRPr="00D7167B">
        <w:rPr>
          <w:rFonts w:ascii="Times New Roman" w:eastAsia="Times New Roman" w:hAnsi="Times New Roman"/>
          <w:bCs/>
        </w:rPr>
        <w:tab/>
      </w:r>
      <w:r w:rsidRPr="00D7167B">
        <w:rPr>
          <w:rFonts w:ascii="Times New Roman" w:eastAsia="Times New Roman" w:hAnsi="Times New Roman"/>
          <w:bCs/>
        </w:rPr>
        <w:tab/>
      </w:r>
      <w:r w:rsidRPr="00D7167B">
        <w:rPr>
          <w:rFonts w:ascii="Times New Roman" w:eastAsia="Times New Roman" w:hAnsi="Times New Roman"/>
          <w:bCs/>
        </w:rPr>
        <w:tab/>
      </w:r>
      <w:r w:rsidRPr="00D7167B">
        <w:rPr>
          <w:rFonts w:ascii="Times New Roman" w:eastAsia="Times New Roman" w:hAnsi="Times New Roman"/>
          <w:bCs/>
        </w:rPr>
        <w:tab/>
        <w:t>Commissioner</w:t>
      </w:r>
    </w:p>
    <w:p w:rsidR="00AF0EA9" w:rsidRPr="00D7167B" w:rsidRDefault="00AF0EA9" w:rsidP="00AF0EA9">
      <w:pPr>
        <w:jc w:val="both"/>
        <w:rPr>
          <w:rFonts w:ascii="Times New Roman" w:eastAsia="Times New Roman" w:hAnsi="Times New Roman"/>
          <w:bCs/>
        </w:rPr>
      </w:pPr>
    </w:p>
    <w:p w:rsidR="00AF0EA9" w:rsidRDefault="00AF0EA9" w:rsidP="00AF0EA9">
      <w:pPr>
        <w:jc w:val="both"/>
        <w:rPr>
          <w:rFonts w:ascii="Times New Roman" w:eastAsia="Times New Roman" w:hAnsi="Times New Roman"/>
        </w:rPr>
      </w:pPr>
    </w:p>
    <w:p w:rsidR="00AF0EA9" w:rsidRDefault="00AF0EA9" w:rsidP="00AF0EA9">
      <w:pPr>
        <w:jc w:val="both"/>
        <w:rPr>
          <w:rFonts w:ascii="Times New Roman" w:eastAsia="Times New Roman" w:hAnsi="Times New Roman"/>
        </w:rPr>
      </w:pPr>
    </w:p>
    <w:p w:rsidR="00AF0EA9" w:rsidRPr="00D7167B" w:rsidRDefault="00AF0EA9" w:rsidP="00AF0EA9">
      <w:pPr>
        <w:jc w:val="both"/>
        <w:rPr>
          <w:rFonts w:ascii="Times New Roman" w:eastAsia="Times New Roman" w:hAnsi="Times New Roman"/>
        </w:rPr>
      </w:pPr>
    </w:p>
    <w:p w:rsidR="00AF0EA9" w:rsidRPr="00D7167B" w:rsidRDefault="00AF0EA9" w:rsidP="00AF0EA9">
      <w:pPr>
        <w:jc w:val="both"/>
        <w:rPr>
          <w:rFonts w:ascii="Times New Roman" w:eastAsia="Times New Roman" w:hAnsi="Times New Roman"/>
          <w:bCs/>
          <w:u w:val="single"/>
        </w:rPr>
      </w:pPr>
      <w:r w:rsidRPr="00D7167B">
        <w:rPr>
          <w:rFonts w:ascii="Times New Roman" w:eastAsia="Times New Roman" w:hAnsi="Times New Roman"/>
          <w:bCs/>
          <w:u w:val="single"/>
        </w:rPr>
        <w:tab/>
      </w:r>
      <w:r w:rsidRPr="00D7167B">
        <w:rPr>
          <w:rFonts w:ascii="Times New Roman" w:eastAsia="Times New Roman" w:hAnsi="Times New Roman"/>
          <w:bCs/>
          <w:u w:val="single"/>
        </w:rPr>
        <w:tab/>
      </w:r>
      <w:r w:rsidRPr="00D7167B">
        <w:rPr>
          <w:rFonts w:ascii="Times New Roman" w:eastAsia="Times New Roman" w:hAnsi="Times New Roman"/>
          <w:bCs/>
          <w:u w:val="single"/>
        </w:rPr>
        <w:tab/>
      </w:r>
      <w:r w:rsidRPr="00D7167B">
        <w:rPr>
          <w:rFonts w:ascii="Times New Roman" w:eastAsia="Times New Roman" w:hAnsi="Times New Roman"/>
          <w:bCs/>
          <w:u w:val="single"/>
        </w:rPr>
        <w:tab/>
      </w:r>
      <w:r w:rsidRPr="00D7167B">
        <w:rPr>
          <w:rFonts w:ascii="Times New Roman" w:eastAsia="Times New Roman" w:hAnsi="Times New Roman"/>
          <w:bCs/>
          <w:u w:val="single"/>
        </w:rPr>
        <w:tab/>
      </w:r>
      <w:r w:rsidRPr="00D7167B">
        <w:rPr>
          <w:rFonts w:ascii="Times New Roman" w:eastAsia="Times New Roman" w:hAnsi="Times New Roman"/>
          <w:bCs/>
        </w:rPr>
        <w:tab/>
      </w:r>
      <w:r w:rsidRPr="00D7167B">
        <w:rPr>
          <w:rFonts w:ascii="Times New Roman" w:eastAsia="Times New Roman" w:hAnsi="Times New Roman"/>
          <w:bCs/>
        </w:rPr>
        <w:tab/>
      </w:r>
      <w:r w:rsidRPr="00D7167B">
        <w:rPr>
          <w:rFonts w:ascii="Times New Roman" w:eastAsia="Times New Roman" w:hAnsi="Times New Roman"/>
          <w:bCs/>
          <w:u w:val="single"/>
        </w:rPr>
        <w:tab/>
      </w:r>
      <w:r w:rsidRPr="00D7167B">
        <w:rPr>
          <w:rFonts w:ascii="Times New Roman" w:eastAsia="Times New Roman" w:hAnsi="Times New Roman"/>
          <w:bCs/>
          <w:u w:val="single"/>
        </w:rPr>
        <w:tab/>
      </w:r>
      <w:r w:rsidRPr="00D7167B">
        <w:rPr>
          <w:rFonts w:ascii="Times New Roman" w:eastAsia="Times New Roman" w:hAnsi="Times New Roman"/>
          <w:bCs/>
          <w:u w:val="single"/>
        </w:rPr>
        <w:tab/>
      </w:r>
      <w:r w:rsidRPr="00D7167B">
        <w:rPr>
          <w:rFonts w:ascii="Times New Roman" w:eastAsia="Times New Roman" w:hAnsi="Times New Roman"/>
          <w:bCs/>
          <w:u w:val="single"/>
        </w:rPr>
        <w:tab/>
      </w:r>
      <w:r w:rsidRPr="00D7167B">
        <w:rPr>
          <w:rFonts w:ascii="Times New Roman" w:eastAsia="Times New Roman" w:hAnsi="Times New Roman"/>
          <w:bCs/>
          <w:u w:val="single"/>
        </w:rPr>
        <w:tab/>
      </w:r>
    </w:p>
    <w:p w:rsidR="00AF0EA9" w:rsidRPr="00D7167B" w:rsidRDefault="00AF0EA9" w:rsidP="00AF0EA9">
      <w:pPr>
        <w:jc w:val="both"/>
        <w:rPr>
          <w:rFonts w:ascii="Times New Roman" w:eastAsia="Times New Roman" w:hAnsi="Times New Roman"/>
          <w:b/>
          <w:bCs/>
        </w:rPr>
      </w:pPr>
      <w:r w:rsidRPr="00D7167B">
        <w:rPr>
          <w:rFonts w:ascii="Times New Roman" w:eastAsia="Times New Roman" w:hAnsi="Times New Roman"/>
          <w:b/>
          <w:bCs/>
        </w:rPr>
        <w:t>MICHAEL A. PANGELINAN</w:t>
      </w:r>
      <w:r w:rsidRPr="00D7167B">
        <w:rPr>
          <w:rFonts w:ascii="Times New Roman" w:eastAsia="Times New Roman" w:hAnsi="Times New Roman"/>
          <w:b/>
          <w:bCs/>
        </w:rPr>
        <w:tab/>
      </w:r>
      <w:r w:rsidRPr="00D7167B">
        <w:rPr>
          <w:rFonts w:ascii="Times New Roman" w:eastAsia="Times New Roman" w:hAnsi="Times New Roman"/>
          <w:b/>
          <w:bCs/>
        </w:rPr>
        <w:tab/>
      </w:r>
      <w:r w:rsidRPr="00D7167B">
        <w:rPr>
          <w:rFonts w:ascii="Times New Roman" w:eastAsia="Times New Roman" w:hAnsi="Times New Roman"/>
          <w:b/>
          <w:bCs/>
        </w:rPr>
        <w:tab/>
        <w:t>PETER MONTINOLA</w:t>
      </w:r>
    </w:p>
    <w:p w:rsidR="00AF0EA9" w:rsidRPr="00D7167B" w:rsidRDefault="00AF0EA9" w:rsidP="00AF0EA9">
      <w:pPr>
        <w:jc w:val="both"/>
        <w:rPr>
          <w:rFonts w:ascii="Times New Roman" w:eastAsia="Times New Roman" w:hAnsi="Times New Roman"/>
          <w:bCs/>
        </w:rPr>
      </w:pPr>
      <w:r w:rsidRPr="00D7167B">
        <w:rPr>
          <w:rFonts w:ascii="Times New Roman" w:eastAsia="Times New Roman" w:hAnsi="Times New Roman"/>
          <w:bCs/>
        </w:rPr>
        <w:t>Commissioner</w:t>
      </w:r>
      <w:r w:rsidRPr="00D7167B">
        <w:rPr>
          <w:rFonts w:ascii="Times New Roman" w:eastAsia="Times New Roman" w:hAnsi="Times New Roman"/>
          <w:bCs/>
        </w:rPr>
        <w:tab/>
      </w:r>
      <w:r w:rsidRPr="00D7167B">
        <w:rPr>
          <w:rFonts w:ascii="Times New Roman" w:eastAsia="Times New Roman" w:hAnsi="Times New Roman"/>
          <w:bCs/>
        </w:rPr>
        <w:tab/>
      </w:r>
      <w:r w:rsidRPr="00D7167B">
        <w:rPr>
          <w:rFonts w:ascii="Times New Roman" w:eastAsia="Times New Roman" w:hAnsi="Times New Roman"/>
          <w:bCs/>
        </w:rPr>
        <w:tab/>
      </w:r>
      <w:r w:rsidRPr="00D7167B">
        <w:rPr>
          <w:rFonts w:ascii="Times New Roman" w:eastAsia="Times New Roman" w:hAnsi="Times New Roman"/>
          <w:bCs/>
        </w:rPr>
        <w:tab/>
      </w:r>
      <w:r w:rsidRPr="00D7167B">
        <w:rPr>
          <w:rFonts w:ascii="Times New Roman" w:eastAsia="Times New Roman" w:hAnsi="Times New Roman"/>
          <w:bCs/>
        </w:rPr>
        <w:tab/>
      </w:r>
      <w:r w:rsidRPr="00D7167B">
        <w:rPr>
          <w:rFonts w:ascii="Times New Roman" w:eastAsia="Times New Roman" w:hAnsi="Times New Roman"/>
          <w:bCs/>
        </w:rPr>
        <w:tab/>
        <w:t>Commissioner</w:t>
      </w:r>
    </w:p>
    <w:p w:rsidR="00AF0EA9" w:rsidRPr="00D7167B" w:rsidRDefault="00AF0EA9" w:rsidP="00AF0EA9">
      <w:pPr>
        <w:jc w:val="both"/>
        <w:rPr>
          <w:rFonts w:ascii="Times New Roman" w:eastAsia="Times New Roman" w:hAnsi="Times New Roman"/>
          <w:bCs/>
        </w:rPr>
      </w:pPr>
    </w:p>
    <w:p w:rsidR="00AF0EA9" w:rsidRDefault="00AF0EA9" w:rsidP="00AF0EA9">
      <w:pPr>
        <w:jc w:val="both"/>
        <w:rPr>
          <w:rFonts w:ascii="Times New Roman" w:eastAsia="Times New Roman" w:hAnsi="Times New Roman"/>
          <w:bCs/>
        </w:rPr>
      </w:pPr>
    </w:p>
    <w:p w:rsidR="00AF0EA9" w:rsidRDefault="00AF0EA9" w:rsidP="00AF0EA9">
      <w:pPr>
        <w:jc w:val="both"/>
        <w:rPr>
          <w:rFonts w:ascii="Times New Roman" w:eastAsia="Times New Roman" w:hAnsi="Times New Roman"/>
          <w:bCs/>
        </w:rPr>
      </w:pPr>
    </w:p>
    <w:p w:rsidR="00AF0EA9" w:rsidRPr="00D7167B" w:rsidRDefault="00AF0EA9" w:rsidP="00AF0EA9">
      <w:pPr>
        <w:jc w:val="both"/>
        <w:rPr>
          <w:rFonts w:ascii="Times New Roman" w:eastAsia="Times New Roman" w:hAnsi="Times New Roman"/>
          <w:bCs/>
        </w:rPr>
      </w:pPr>
    </w:p>
    <w:p w:rsidR="00AF0EA9" w:rsidRPr="00D7167B" w:rsidRDefault="00AF0EA9" w:rsidP="00AF0EA9">
      <w:pPr>
        <w:jc w:val="both"/>
        <w:rPr>
          <w:rFonts w:ascii="Times New Roman" w:eastAsia="Times New Roman" w:hAnsi="Times New Roman"/>
          <w:bCs/>
          <w:u w:val="single"/>
        </w:rPr>
      </w:pPr>
      <w:r w:rsidRPr="00D7167B">
        <w:rPr>
          <w:rFonts w:ascii="Times New Roman" w:eastAsia="Times New Roman" w:hAnsi="Times New Roman"/>
          <w:bCs/>
          <w:u w:val="single"/>
        </w:rPr>
        <w:tab/>
      </w:r>
      <w:r w:rsidRPr="00D7167B">
        <w:rPr>
          <w:rFonts w:ascii="Times New Roman" w:eastAsia="Times New Roman" w:hAnsi="Times New Roman"/>
          <w:bCs/>
          <w:u w:val="single"/>
        </w:rPr>
        <w:tab/>
      </w:r>
      <w:r w:rsidRPr="00D7167B">
        <w:rPr>
          <w:rFonts w:ascii="Times New Roman" w:eastAsia="Times New Roman" w:hAnsi="Times New Roman"/>
          <w:bCs/>
          <w:u w:val="single"/>
        </w:rPr>
        <w:tab/>
      </w:r>
      <w:r w:rsidRPr="00D7167B">
        <w:rPr>
          <w:rFonts w:ascii="Times New Roman" w:eastAsia="Times New Roman" w:hAnsi="Times New Roman"/>
          <w:bCs/>
          <w:u w:val="single"/>
        </w:rPr>
        <w:tab/>
      </w:r>
      <w:r w:rsidRPr="00D7167B">
        <w:rPr>
          <w:rFonts w:ascii="Times New Roman" w:eastAsia="Times New Roman" w:hAnsi="Times New Roman"/>
          <w:bCs/>
          <w:u w:val="single"/>
        </w:rPr>
        <w:tab/>
      </w:r>
    </w:p>
    <w:p w:rsidR="00AF0EA9" w:rsidRPr="00D7167B" w:rsidRDefault="00AF0EA9" w:rsidP="00AF0EA9">
      <w:pPr>
        <w:jc w:val="both"/>
        <w:rPr>
          <w:rFonts w:ascii="Times New Roman" w:eastAsia="Times New Roman" w:hAnsi="Times New Roman"/>
          <w:b/>
          <w:bCs/>
        </w:rPr>
      </w:pPr>
      <w:r w:rsidRPr="00D7167B">
        <w:rPr>
          <w:rFonts w:ascii="Times New Roman" w:eastAsia="Times New Roman" w:hAnsi="Times New Roman"/>
          <w:b/>
          <w:bCs/>
        </w:rPr>
        <w:t>ANDREW L. NIVEN</w:t>
      </w:r>
    </w:p>
    <w:p w:rsidR="00AF0EA9" w:rsidRDefault="00AF0EA9" w:rsidP="00AF0EA9">
      <w:pPr>
        <w:rPr>
          <w:rFonts w:ascii="Times New Roman" w:eastAsia="Times New Roman" w:hAnsi="Times New Roman"/>
          <w:bCs/>
        </w:rPr>
      </w:pPr>
      <w:r w:rsidRPr="00D7167B">
        <w:rPr>
          <w:rFonts w:ascii="Times New Roman" w:eastAsia="Times New Roman" w:hAnsi="Times New Roman"/>
          <w:bCs/>
        </w:rPr>
        <w:t>Commissioner</w:t>
      </w:r>
    </w:p>
    <w:p w:rsidR="0081008C" w:rsidRDefault="0081008C" w:rsidP="00BA709D">
      <w:pPr>
        <w:jc w:val="both"/>
        <w:rPr>
          <w:rFonts w:ascii="Times New Roman" w:hAnsi="Times New Roman"/>
        </w:rPr>
      </w:pPr>
    </w:p>
    <w:p w:rsidR="0081008C" w:rsidRDefault="0081008C" w:rsidP="00BA709D">
      <w:pPr>
        <w:jc w:val="both"/>
        <w:rPr>
          <w:rFonts w:ascii="Times New Roman" w:hAnsi="Times New Roman"/>
        </w:rPr>
      </w:pPr>
    </w:p>
    <w:p w:rsidR="00AF0EA9" w:rsidRDefault="00AF0EA9" w:rsidP="00BA709D">
      <w:pPr>
        <w:jc w:val="both"/>
        <w:rPr>
          <w:rFonts w:ascii="Times New Roman" w:hAnsi="Times New Roman"/>
        </w:rPr>
      </w:pPr>
    </w:p>
    <w:p w:rsidR="00AF0EA9" w:rsidRDefault="00AF0EA9" w:rsidP="00BA709D">
      <w:pPr>
        <w:jc w:val="both"/>
        <w:rPr>
          <w:rFonts w:ascii="Times New Roman" w:hAnsi="Times New Roman"/>
        </w:rPr>
      </w:pPr>
    </w:p>
    <w:p w:rsidR="00AF0EA9" w:rsidRDefault="00AF0EA9" w:rsidP="00BA709D">
      <w:pPr>
        <w:jc w:val="both"/>
        <w:rPr>
          <w:rFonts w:ascii="Times New Roman" w:hAnsi="Times New Roman"/>
        </w:rPr>
      </w:pPr>
    </w:p>
    <w:p w:rsidR="00AF0EA9" w:rsidRDefault="00AF0EA9" w:rsidP="00BA709D">
      <w:pPr>
        <w:jc w:val="both"/>
        <w:rPr>
          <w:rFonts w:ascii="Times New Roman" w:hAnsi="Times New Roman"/>
        </w:rPr>
      </w:pPr>
    </w:p>
    <w:p w:rsidR="00AF0EA9" w:rsidRDefault="00AF0EA9" w:rsidP="00BA709D">
      <w:pPr>
        <w:jc w:val="both"/>
        <w:rPr>
          <w:rFonts w:ascii="Times New Roman" w:hAnsi="Times New Roman"/>
        </w:rPr>
      </w:pPr>
    </w:p>
    <w:p w:rsidR="0081008C" w:rsidRPr="00614DA2" w:rsidRDefault="00534677" w:rsidP="00AF0EA9">
      <w:pPr>
        <w:jc w:val="right"/>
        <w:rPr>
          <w:rFonts w:ascii="Times New Roman" w:hAnsi="Times New Roman"/>
          <w:sz w:val="16"/>
          <w:szCs w:val="16"/>
        </w:rPr>
      </w:pPr>
      <w:fldSimple w:instr=" FILENAME   \* MERGEFORMAT ">
        <w:r w:rsidR="00AF0EA9" w:rsidRPr="00AF0EA9">
          <w:rPr>
            <w:rFonts w:ascii="Times New Roman" w:hAnsi="Times New Roman"/>
            <w:noProof/>
            <w:sz w:val="16"/>
            <w:szCs w:val="16"/>
          </w:rPr>
          <w:t>P173003.JRA</w:t>
        </w:r>
      </w:fldSimple>
    </w:p>
    <w:sectPr w:rsidR="0081008C" w:rsidRPr="00614DA2" w:rsidSect="000674FC">
      <w:footerReference w:type="default" r:id="rId8"/>
      <w:pgSz w:w="12240" w:h="15840" w:code="1"/>
      <w:pgMar w:top="1872" w:right="1728" w:bottom="1152" w:left="1728" w:header="1728" w:footer="100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EA9" w:rsidRDefault="00AF0EA9">
      <w:r>
        <w:separator/>
      </w:r>
    </w:p>
  </w:endnote>
  <w:endnote w:type="continuationSeparator" w:id="0">
    <w:p w:rsidR="00AF0EA9" w:rsidRDefault="00AF0E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EA9" w:rsidRDefault="00AF0EA9">
    <w:pPr>
      <w:pStyle w:val="Footer"/>
      <w:jc w:val="center"/>
    </w:pPr>
    <w:r w:rsidRPr="00931504">
      <w:rPr>
        <w:rFonts w:ascii="Times New Roman" w:hAnsi="Times New Roman"/>
      </w:rPr>
      <w:t xml:space="preserve">Page </w:t>
    </w:r>
    <w:r w:rsidRPr="00931504">
      <w:rPr>
        <w:rFonts w:ascii="Times New Roman" w:hAnsi="Times New Roman"/>
      </w:rPr>
      <w:fldChar w:fldCharType="begin"/>
    </w:r>
    <w:r w:rsidRPr="00931504">
      <w:rPr>
        <w:rFonts w:ascii="Times New Roman" w:hAnsi="Times New Roman"/>
      </w:rPr>
      <w:instrText xml:space="preserve"> PAGE </w:instrText>
    </w:r>
    <w:r w:rsidRPr="00931504">
      <w:rPr>
        <w:rFonts w:ascii="Times New Roman" w:hAnsi="Times New Roman"/>
      </w:rPr>
      <w:fldChar w:fldCharType="separate"/>
    </w:r>
    <w:r w:rsidR="00DC4C5D">
      <w:rPr>
        <w:rFonts w:ascii="Times New Roman" w:hAnsi="Times New Roman"/>
        <w:noProof/>
      </w:rPr>
      <w:t>3</w:t>
    </w:r>
    <w:r w:rsidRPr="00931504">
      <w:rPr>
        <w:rFonts w:ascii="Times New Roman" w:hAnsi="Times New Roman"/>
      </w:rPr>
      <w:fldChar w:fldCharType="end"/>
    </w:r>
    <w:r w:rsidRPr="00931504">
      <w:rPr>
        <w:rFonts w:ascii="Times New Roman" w:hAnsi="Times New Roman"/>
      </w:rPr>
      <w:t xml:space="preserve"> of </w:t>
    </w:r>
    <w:r w:rsidRPr="00931504">
      <w:rPr>
        <w:rFonts w:ascii="Times New Roman" w:hAnsi="Times New Roman"/>
      </w:rPr>
      <w:fldChar w:fldCharType="begin"/>
    </w:r>
    <w:r w:rsidRPr="00931504">
      <w:rPr>
        <w:rFonts w:ascii="Times New Roman" w:hAnsi="Times New Roman"/>
      </w:rPr>
      <w:instrText xml:space="preserve"> NUMPAGES  </w:instrText>
    </w:r>
    <w:r w:rsidRPr="00931504">
      <w:rPr>
        <w:rFonts w:ascii="Times New Roman" w:hAnsi="Times New Roman"/>
      </w:rPr>
      <w:fldChar w:fldCharType="separate"/>
    </w:r>
    <w:r w:rsidR="00DC4C5D">
      <w:rPr>
        <w:rFonts w:ascii="Times New Roman" w:hAnsi="Times New Roman"/>
        <w:noProof/>
      </w:rPr>
      <w:t>8</w:t>
    </w:r>
    <w:r w:rsidRPr="00931504">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EA9" w:rsidRDefault="00AF0EA9">
      <w:r>
        <w:separator/>
      </w:r>
    </w:p>
  </w:footnote>
  <w:footnote w:type="continuationSeparator" w:id="0">
    <w:p w:rsidR="00AF0EA9" w:rsidRDefault="00AF0EA9">
      <w:r>
        <w:continuationSeparator/>
      </w:r>
    </w:p>
  </w:footnote>
  <w:footnote w:id="1">
    <w:p w:rsidR="00AF0EA9" w:rsidRPr="00773467" w:rsidRDefault="00AF0EA9" w:rsidP="001D0F01">
      <w:pPr>
        <w:pStyle w:val="FootnoteText"/>
        <w:tabs>
          <w:tab w:val="left" w:pos="720"/>
        </w:tabs>
        <w:spacing w:after="120"/>
        <w:ind w:firstLine="360"/>
        <w:jc w:val="both"/>
        <w:rPr>
          <w:rFonts w:ascii="Times New Roman" w:hAnsi="Times New Roman"/>
          <w:sz w:val="22"/>
          <w:szCs w:val="22"/>
        </w:rPr>
      </w:pPr>
      <w:r w:rsidRPr="00773467">
        <w:rPr>
          <w:rStyle w:val="FootnoteReference"/>
          <w:rFonts w:ascii="Times New Roman" w:hAnsi="Times New Roman"/>
          <w:sz w:val="22"/>
          <w:szCs w:val="22"/>
        </w:rPr>
        <w:footnoteRef/>
      </w:r>
      <w:r>
        <w:rPr>
          <w:rFonts w:ascii="Times New Roman" w:hAnsi="Times New Roman"/>
          <w:sz w:val="22"/>
          <w:szCs w:val="22"/>
        </w:rPr>
        <w:t xml:space="preserve"> </w:t>
      </w:r>
      <w:r>
        <w:rPr>
          <w:rFonts w:ascii="Times New Roman" w:hAnsi="Times New Roman"/>
          <w:sz w:val="22"/>
          <w:szCs w:val="22"/>
        </w:rPr>
        <w:tab/>
      </w:r>
      <w:r w:rsidRPr="008B6D15">
        <w:rPr>
          <w:rFonts w:ascii="Times New Roman" w:hAnsi="Times New Roman"/>
          <w:sz w:val="22"/>
          <w:szCs w:val="22"/>
        </w:rPr>
        <w:t xml:space="preserve">Petition </w:t>
      </w:r>
      <w:r>
        <w:rPr>
          <w:rFonts w:ascii="Times New Roman" w:hAnsi="Times New Roman"/>
          <w:sz w:val="22"/>
          <w:szCs w:val="22"/>
        </w:rPr>
        <w:t>for Approval of Amendment Number Six to Brown and Caldwell PMO Contract</w:t>
      </w:r>
      <w:r w:rsidRPr="008B6D15">
        <w:rPr>
          <w:rFonts w:ascii="Times New Roman" w:hAnsi="Times New Roman"/>
          <w:sz w:val="22"/>
          <w:szCs w:val="22"/>
        </w:rPr>
        <w:t xml:space="preserve"> (“Petition”), p. 3 (Aug</w:t>
      </w:r>
      <w:r>
        <w:rPr>
          <w:rFonts w:ascii="Times New Roman" w:hAnsi="Times New Roman"/>
          <w:sz w:val="22"/>
          <w:szCs w:val="22"/>
        </w:rPr>
        <w:t>.</w:t>
      </w:r>
      <w:r w:rsidRPr="008B6D15">
        <w:rPr>
          <w:rFonts w:ascii="Times New Roman" w:hAnsi="Times New Roman"/>
          <w:sz w:val="22"/>
          <w:szCs w:val="22"/>
        </w:rPr>
        <w:t xml:space="preserve"> </w:t>
      </w:r>
      <w:r>
        <w:rPr>
          <w:rFonts w:ascii="Times New Roman" w:hAnsi="Times New Roman"/>
          <w:sz w:val="22"/>
          <w:szCs w:val="22"/>
        </w:rPr>
        <w:t>31</w:t>
      </w:r>
      <w:r w:rsidRPr="008B6D15">
        <w:rPr>
          <w:rFonts w:ascii="Times New Roman" w:hAnsi="Times New Roman"/>
          <w:sz w:val="22"/>
          <w:szCs w:val="22"/>
        </w:rPr>
        <w:t>, 201</w:t>
      </w:r>
      <w:r>
        <w:rPr>
          <w:rFonts w:ascii="Times New Roman" w:hAnsi="Times New Roman"/>
          <w:sz w:val="22"/>
          <w:szCs w:val="22"/>
        </w:rPr>
        <w:t>6</w:t>
      </w:r>
      <w:r w:rsidRPr="008B6D15">
        <w:rPr>
          <w:rFonts w:ascii="Times New Roman" w:hAnsi="Times New Roman"/>
          <w:sz w:val="22"/>
          <w:szCs w:val="22"/>
        </w:rPr>
        <w:t>).</w:t>
      </w:r>
    </w:p>
  </w:footnote>
  <w:footnote w:id="2">
    <w:p w:rsidR="00AF0EA9" w:rsidRPr="00773467" w:rsidRDefault="00AF0EA9" w:rsidP="001D0F01">
      <w:pPr>
        <w:pStyle w:val="FootnoteText"/>
        <w:tabs>
          <w:tab w:val="left" w:pos="720"/>
        </w:tabs>
        <w:spacing w:after="120"/>
        <w:ind w:firstLine="360"/>
        <w:jc w:val="both"/>
        <w:rPr>
          <w:rFonts w:ascii="Times New Roman" w:hAnsi="Times New Roman"/>
          <w:sz w:val="22"/>
          <w:szCs w:val="22"/>
        </w:rPr>
      </w:pPr>
      <w:r w:rsidRPr="00773467">
        <w:rPr>
          <w:rStyle w:val="FootnoteReference"/>
          <w:rFonts w:ascii="Times New Roman" w:hAnsi="Times New Roman"/>
          <w:sz w:val="22"/>
          <w:szCs w:val="22"/>
        </w:rPr>
        <w:footnoteRef/>
      </w:r>
      <w:r>
        <w:rPr>
          <w:rFonts w:ascii="Times New Roman" w:hAnsi="Times New Roman"/>
          <w:sz w:val="22"/>
          <w:szCs w:val="22"/>
        </w:rPr>
        <w:t xml:space="preserve"> </w:t>
      </w:r>
      <w:r>
        <w:rPr>
          <w:rFonts w:ascii="Times New Roman" w:hAnsi="Times New Roman"/>
          <w:sz w:val="22"/>
          <w:szCs w:val="22"/>
        </w:rPr>
        <w:tab/>
        <w:t xml:space="preserve">Petition, p. 6 </w:t>
      </w:r>
      <w:r w:rsidRPr="008B6D15">
        <w:rPr>
          <w:rFonts w:ascii="Times New Roman" w:hAnsi="Times New Roman"/>
          <w:sz w:val="22"/>
          <w:szCs w:val="22"/>
        </w:rPr>
        <w:t>(Aug</w:t>
      </w:r>
      <w:r>
        <w:rPr>
          <w:rFonts w:ascii="Times New Roman" w:hAnsi="Times New Roman"/>
          <w:sz w:val="22"/>
          <w:szCs w:val="22"/>
        </w:rPr>
        <w:t>.</w:t>
      </w:r>
      <w:r w:rsidRPr="008B6D15">
        <w:rPr>
          <w:rFonts w:ascii="Times New Roman" w:hAnsi="Times New Roman"/>
          <w:sz w:val="22"/>
          <w:szCs w:val="22"/>
        </w:rPr>
        <w:t xml:space="preserve"> </w:t>
      </w:r>
      <w:r>
        <w:rPr>
          <w:rFonts w:ascii="Times New Roman" w:hAnsi="Times New Roman"/>
          <w:sz w:val="22"/>
          <w:szCs w:val="22"/>
        </w:rPr>
        <w:t>31</w:t>
      </w:r>
      <w:r w:rsidRPr="008B6D15">
        <w:rPr>
          <w:rFonts w:ascii="Times New Roman" w:hAnsi="Times New Roman"/>
          <w:sz w:val="22"/>
          <w:szCs w:val="22"/>
        </w:rPr>
        <w:t>, 201</w:t>
      </w:r>
      <w:r>
        <w:rPr>
          <w:rFonts w:ascii="Times New Roman" w:hAnsi="Times New Roman"/>
          <w:sz w:val="22"/>
          <w:szCs w:val="22"/>
        </w:rPr>
        <w:t>6</w:t>
      </w:r>
      <w:r w:rsidRPr="008B6D15">
        <w:rPr>
          <w:rFonts w:ascii="Times New Roman" w:hAnsi="Times New Roman"/>
          <w:sz w:val="22"/>
          <w:szCs w:val="22"/>
        </w:rPr>
        <w:t>)</w:t>
      </w:r>
      <w:r>
        <w:rPr>
          <w:rFonts w:ascii="Times New Roman" w:hAnsi="Times New Roman"/>
          <w:sz w:val="22"/>
          <w:szCs w:val="22"/>
        </w:rPr>
        <w:t>.</w:t>
      </w:r>
    </w:p>
  </w:footnote>
  <w:footnote w:id="3">
    <w:p w:rsidR="00AF0EA9" w:rsidRPr="00773467" w:rsidRDefault="00AF0EA9" w:rsidP="001D0F01">
      <w:pPr>
        <w:pStyle w:val="FootnoteText"/>
        <w:tabs>
          <w:tab w:val="left" w:pos="720"/>
        </w:tabs>
        <w:spacing w:after="120"/>
        <w:ind w:firstLine="360"/>
        <w:jc w:val="both"/>
        <w:rPr>
          <w:rFonts w:ascii="Times New Roman" w:hAnsi="Times New Roman"/>
          <w:sz w:val="22"/>
          <w:szCs w:val="22"/>
        </w:rPr>
      </w:pPr>
      <w:r w:rsidRPr="00773467">
        <w:rPr>
          <w:rStyle w:val="FootnoteReference"/>
          <w:rFonts w:ascii="Times New Roman" w:hAnsi="Times New Roman"/>
          <w:sz w:val="22"/>
          <w:szCs w:val="22"/>
        </w:rPr>
        <w:footnoteRef/>
      </w:r>
      <w:r>
        <w:rPr>
          <w:rFonts w:ascii="Times New Roman" w:hAnsi="Times New Roman"/>
          <w:sz w:val="22"/>
          <w:szCs w:val="22"/>
        </w:rPr>
        <w:t xml:space="preserve"> </w:t>
      </w:r>
      <w:r>
        <w:rPr>
          <w:rFonts w:ascii="Times New Roman" w:hAnsi="Times New Roman"/>
          <w:sz w:val="22"/>
          <w:szCs w:val="22"/>
        </w:rPr>
        <w:tab/>
        <w:t xml:space="preserve">Petition, p. 6 </w:t>
      </w:r>
      <w:r w:rsidRPr="008B6D15">
        <w:rPr>
          <w:rFonts w:ascii="Times New Roman" w:hAnsi="Times New Roman"/>
          <w:sz w:val="22"/>
          <w:szCs w:val="22"/>
        </w:rPr>
        <w:t>(Aug</w:t>
      </w:r>
      <w:r>
        <w:rPr>
          <w:rFonts w:ascii="Times New Roman" w:hAnsi="Times New Roman"/>
          <w:sz w:val="22"/>
          <w:szCs w:val="22"/>
        </w:rPr>
        <w:t>.</w:t>
      </w:r>
      <w:r w:rsidRPr="008B6D15">
        <w:rPr>
          <w:rFonts w:ascii="Times New Roman" w:hAnsi="Times New Roman"/>
          <w:sz w:val="22"/>
          <w:szCs w:val="22"/>
        </w:rPr>
        <w:t xml:space="preserve"> </w:t>
      </w:r>
      <w:r>
        <w:rPr>
          <w:rFonts w:ascii="Times New Roman" w:hAnsi="Times New Roman"/>
          <w:sz w:val="22"/>
          <w:szCs w:val="22"/>
        </w:rPr>
        <w:t>31</w:t>
      </w:r>
      <w:r w:rsidRPr="008B6D15">
        <w:rPr>
          <w:rFonts w:ascii="Times New Roman" w:hAnsi="Times New Roman"/>
          <w:sz w:val="22"/>
          <w:szCs w:val="22"/>
        </w:rPr>
        <w:t>, 201</w:t>
      </w:r>
      <w:r>
        <w:rPr>
          <w:rFonts w:ascii="Times New Roman" w:hAnsi="Times New Roman"/>
          <w:sz w:val="22"/>
          <w:szCs w:val="22"/>
        </w:rPr>
        <w:t>6</w:t>
      </w:r>
      <w:r w:rsidRPr="008B6D15">
        <w:rPr>
          <w:rFonts w:ascii="Times New Roman" w:hAnsi="Times New Roman"/>
          <w:sz w:val="22"/>
          <w:szCs w:val="22"/>
        </w:rPr>
        <w:t>)</w:t>
      </w:r>
      <w:r>
        <w:rPr>
          <w:rFonts w:ascii="Times New Roman" w:hAnsi="Times New Roman"/>
          <w:sz w:val="22"/>
          <w:szCs w:val="22"/>
        </w:rPr>
        <w:t>.</w:t>
      </w:r>
    </w:p>
  </w:footnote>
  <w:footnote w:id="4">
    <w:p w:rsidR="00AF0EA9" w:rsidRPr="00773467" w:rsidRDefault="00AF0EA9" w:rsidP="00773467">
      <w:pPr>
        <w:pStyle w:val="FootnoteText"/>
        <w:tabs>
          <w:tab w:val="left" w:pos="720"/>
        </w:tabs>
        <w:spacing w:after="120"/>
        <w:ind w:firstLine="360"/>
        <w:jc w:val="both"/>
        <w:rPr>
          <w:rFonts w:ascii="Times New Roman" w:hAnsi="Times New Roman"/>
          <w:sz w:val="22"/>
          <w:szCs w:val="22"/>
        </w:rPr>
      </w:pPr>
      <w:r w:rsidRPr="00773467">
        <w:rPr>
          <w:rStyle w:val="FootnoteReference"/>
          <w:rFonts w:ascii="Times New Roman" w:hAnsi="Times New Roman"/>
          <w:sz w:val="22"/>
          <w:szCs w:val="22"/>
        </w:rPr>
        <w:footnoteRef/>
      </w:r>
      <w:r w:rsidRPr="00773467">
        <w:rPr>
          <w:rFonts w:ascii="Times New Roman" w:hAnsi="Times New Roman"/>
          <w:sz w:val="22"/>
          <w:szCs w:val="22"/>
        </w:rPr>
        <w:t xml:space="preserve"> </w:t>
      </w:r>
      <w:r w:rsidRPr="00773467">
        <w:rPr>
          <w:rFonts w:ascii="Times New Roman" w:hAnsi="Times New Roman"/>
          <w:sz w:val="22"/>
          <w:szCs w:val="22"/>
        </w:rPr>
        <w:tab/>
      </w:r>
      <w:proofErr w:type="gramStart"/>
      <w:r>
        <w:rPr>
          <w:rFonts w:ascii="Times New Roman" w:hAnsi="Times New Roman"/>
          <w:sz w:val="22"/>
          <w:szCs w:val="22"/>
        </w:rPr>
        <w:t>Formerly</w:t>
      </w:r>
      <w:r w:rsidRPr="00773467">
        <w:rPr>
          <w:rFonts w:ascii="Times New Roman" w:hAnsi="Times New Roman"/>
          <w:sz w:val="22"/>
          <w:szCs w:val="22"/>
        </w:rPr>
        <w:t xml:space="preserve"> 12 G.C.A. § 12</w:t>
      </w:r>
      <w:r>
        <w:rPr>
          <w:rFonts w:ascii="Times New Roman" w:hAnsi="Times New Roman"/>
          <w:sz w:val="22"/>
          <w:szCs w:val="22"/>
        </w:rPr>
        <w:t>004</w:t>
      </w:r>
      <w:r w:rsidRPr="00773467">
        <w:rPr>
          <w:rFonts w:ascii="Times New Roman" w:hAnsi="Times New Roman"/>
          <w:sz w:val="22"/>
          <w:szCs w:val="22"/>
        </w:rPr>
        <w:t>.</w:t>
      </w:r>
      <w:proofErr w:type="gramEnd"/>
    </w:p>
  </w:footnote>
  <w:footnote w:id="5">
    <w:p w:rsidR="00AF0EA9" w:rsidRPr="00773467" w:rsidRDefault="00AF0EA9" w:rsidP="00773467">
      <w:pPr>
        <w:pStyle w:val="FootnoteText"/>
        <w:tabs>
          <w:tab w:val="left" w:pos="720"/>
        </w:tabs>
        <w:spacing w:after="120"/>
        <w:ind w:firstLine="360"/>
        <w:jc w:val="both"/>
        <w:rPr>
          <w:rFonts w:ascii="Times New Roman" w:hAnsi="Times New Roman"/>
          <w:sz w:val="22"/>
          <w:szCs w:val="22"/>
        </w:rPr>
      </w:pPr>
      <w:r w:rsidRPr="00773467">
        <w:rPr>
          <w:rStyle w:val="FootnoteReference"/>
          <w:rFonts w:ascii="Times New Roman" w:hAnsi="Times New Roman"/>
          <w:sz w:val="22"/>
          <w:szCs w:val="22"/>
        </w:rPr>
        <w:footnoteRef/>
      </w:r>
      <w:r w:rsidRPr="00773467">
        <w:rPr>
          <w:rFonts w:ascii="Times New Roman" w:hAnsi="Times New Roman"/>
          <w:sz w:val="22"/>
          <w:szCs w:val="22"/>
        </w:rPr>
        <w:t xml:space="preserve"> </w:t>
      </w:r>
      <w:r w:rsidRPr="00773467">
        <w:rPr>
          <w:rFonts w:ascii="Times New Roman" w:hAnsi="Times New Roman"/>
          <w:sz w:val="22"/>
          <w:szCs w:val="22"/>
        </w:rPr>
        <w:tab/>
      </w:r>
      <w:proofErr w:type="gramStart"/>
      <w:r w:rsidRPr="00773467">
        <w:rPr>
          <w:rFonts w:ascii="Times New Roman" w:hAnsi="Times New Roman"/>
          <w:sz w:val="22"/>
          <w:szCs w:val="22"/>
        </w:rPr>
        <w:t xml:space="preserve">GWA’s Contract Review Protocol (“GWA CRP”), Administrative Docket 00-04, p. 1 </w:t>
      </w:r>
      <w:r>
        <w:rPr>
          <w:rFonts w:ascii="Times New Roman" w:hAnsi="Times New Roman"/>
          <w:sz w:val="22"/>
          <w:szCs w:val="22"/>
        </w:rPr>
        <w:br/>
      </w:r>
      <w:r w:rsidRPr="00773467">
        <w:rPr>
          <w:rFonts w:ascii="Times New Roman" w:hAnsi="Times New Roman"/>
          <w:sz w:val="22"/>
          <w:szCs w:val="22"/>
        </w:rPr>
        <w:t>(Oct. 27, 2005).</w:t>
      </w:r>
      <w:proofErr w:type="gramEnd"/>
      <w:r w:rsidRPr="00773467">
        <w:rPr>
          <w:rFonts w:ascii="Times New Roman" w:hAnsi="Times New Roman"/>
          <w:sz w:val="22"/>
          <w:szCs w:val="22"/>
        </w:rPr>
        <w:t xml:space="preserve">  </w:t>
      </w:r>
    </w:p>
  </w:footnote>
  <w:footnote w:id="6">
    <w:p w:rsidR="00AF0EA9" w:rsidRPr="00773467" w:rsidRDefault="00AF0EA9" w:rsidP="00773467">
      <w:pPr>
        <w:pStyle w:val="FootnoteText"/>
        <w:tabs>
          <w:tab w:val="left" w:pos="720"/>
        </w:tabs>
        <w:spacing w:after="120"/>
        <w:ind w:firstLine="360"/>
        <w:jc w:val="both"/>
        <w:rPr>
          <w:rFonts w:ascii="Times New Roman" w:hAnsi="Times New Roman"/>
          <w:sz w:val="22"/>
          <w:szCs w:val="22"/>
        </w:rPr>
      </w:pPr>
      <w:r w:rsidRPr="00773467">
        <w:rPr>
          <w:rStyle w:val="FootnoteReference"/>
          <w:rFonts w:ascii="Times New Roman" w:hAnsi="Times New Roman"/>
          <w:sz w:val="22"/>
          <w:szCs w:val="22"/>
        </w:rPr>
        <w:footnoteRef/>
      </w:r>
      <w:r w:rsidRPr="00773467">
        <w:rPr>
          <w:rFonts w:ascii="Times New Roman" w:hAnsi="Times New Roman"/>
          <w:sz w:val="22"/>
          <w:szCs w:val="22"/>
        </w:rPr>
        <w:tab/>
      </w:r>
      <w:r w:rsidRPr="00773467">
        <w:rPr>
          <w:rFonts w:ascii="Times New Roman" w:hAnsi="Times New Roman"/>
          <w:i/>
          <w:sz w:val="22"/>
          <w:szCs w:val="22"/>
        </w:rPr>
        <w:t>Id</w:t>
      </w:r>
      <w:r w:rsidRPr="00773467">
        <w:rPr>
          <w:rFonts w:ascii="Times New Roman" w:hAnsi="Times New Roman"/>
          <w:sz w:val="22"/>
          <w:szCs w:val="22"/>
        </w:rPr>
        <w:t>.</w:t>
      </w:r>
    </w:p>
  </w:footnote>
  <w:footnote w:id="7">
    <w:p w:rsidR="00AF0EA9" w:rsidRPr="001F7F0E" w:rsidRDefault="00AF0EA9" w:rsidP="00B61E0E">
      <w:pPr>
        <w:pStyle w:val="FootnoteText"/>
        <w:tabs>
          <w:tab w:val="left" w:pos="720"/>
        </w:tabs>
        <w:spacing w:after="120"/>
        <w:ind w:firstLine="360"/>
        <w:rPr>
          <w:sz w:val="22"/>
        </w:rPr>
      </w:pPr>
      <w:r w:rsidRPr="001F7F0E">
        <w:rPr>
          <w:rStyle w:val="FootnoteReference"/>
          <w:sz w:val="22"/>
        </w:rPr>
        <w:footnoteRef/>
      </w:r>
      <w:r>
        <w:rPr>
          <w:rFonts w:ascii="Times New Roman" w:eastAsia="Times New Roman" w:hAnsi="Times New Roman"/>
          <w:sz w:val="22"/>
        </w:rPr>
        <w:tab/>
      </w:r>
      <w:proofErr w:type="spellStart"/>
      <w:proofErr w:type="gramStart"/>
      <w:r w:rsidRPr="001F7F0E">
        <w:rPr>
          <w:rFonts w:ascii="Times New Roman" w:eastAsia="Times New Roman" w:hAnsi="Times New Roman"/>
          <w:sz w:val="22"/>
        </w:rPr>
        <w:t>GWA’s</w:t>
      </w:r>
      <w:proofErr w:type="spellEnd"/>
      <w:r w:rsidRPr="001F7F0E">
        <w:rPr>
          <w:rFonts w:ascii="Times New Roman" w:eastAsia="Times New Roman" w:hAnsi="Times New Roman"/>
          <w:sz w:val="22"/>
        </w:rPr>
        <w:t xml:space="preserve"> Transition Plan (“Report”), p. 1 (Dec. 29, 2016).</w:t>
      </w:r>
      <w:proofErr w:type="gramEnd"/>
    </w:p>
  </w:footnote>
  <w:footnote w:id="8">
    <w:p w:rsidR="00AF0EA9" w:rsidRPr="00B61E0E" w:rsidRDefault="00AF0EA9" w:rsidP="00B61E0E">
      <w:pPr>
        <w:pStyle w:val="FootnoteText"/>
        <w:tabs>
          <w:tab w:val="left" w:pos="720"/>
        </w:tabs>
        <w:spacing w:after="120"/>
        <w:ind w:firstLine="360"/>
        <w:rPr>
          <w:rFonts w:ascii="Times New Roman" w:hAnsi="Times New Roman"/>
          <w:sz w:val="22"/>
          <w:szCs w:val="22"/>
        </w:rPr>
      </w:pPr>
      <w:r w:rsidRPr="00B61E0E">
        <w:rPr>
          <w:rStyle w:val="FootnoteReference"/>
          <w:rFonts w:ascii="Times New Roman" w:hAnsi="Times New Roman"/>
          <w:sz w:val="22"/>
          <w:szCs w:val="22"/>
        </w:rPr>
        <w:footnoteRef/>
      </w:r>
      <w:r>
        <w:rPr>
          <w:rFonts w:ascii="Times New Roman" w:eastAsia="Times New Roman" w:hAnsi="Times New Roman"/>
          <w:sz w:val="22"/>
          <w:szCs w:val="22"/>
        </w:rPr>
        <w:tab/>
      </w:r>
      <w:r w:rsidRPr="00B61E0E">
        <w:rPr>
          <w:rFonts w:ascii="Times New Roman" w:eastAsia="Times New Roman" w:hAnsi="Times New Roman"/>
          <w:sz w:val="22"/>
          <w:szCs w:val="22"/>
        </w:rPr>
        <w:t>Report, p. 1</w:t>
      </w:r>
      <w:r>
        <w:rPr>
          <w:rFonts w:ascii="Times New Roman" w:eastAsia="Times New Roman" w:hAnsi="Times New Roman"/>
          <w:sz w:val="22"/>
          <w:szCs w:val="22"/>
        </w:rPr>
        <w:t xml:space="preserve"> </w:t>
      </w:r>
      <w:r w:rsidRPr="001F7F0E">
        <w:rPr>
          <w:rFonts w:ascii="Times New Roman" w:eastAsia="Times New Roman" w:hAnsi="Times New Roman"/>
          <w:sz w:val="22"/>
        </w:rPr>
        <w:t>(Dec. 29, 2016)</w:t>
      </w:r>
      <w:r w:rsidRPr="00B61E0E">
        <w:rPr>
          <w:rFonts w:ascii="Times New Roman" w:eastAsia="Times New Roman" w:hAnsi="Times New Roman"/>
          <w:sz w:val="22"/>
          <w:szCs w:val="22"/>
        </w:rPr>
        <w:t>.</w:t>
      </w:r>
    </w:p>
  </w:footnote>
  <w:footnote w:id="9">
    <w:p w:rsidR="00AF0EA9" w:rsidRPr="00B61E0E" w:rsidRDefault="00AF0EA9" w:rsidP="00B61E0E">
      <w:pPr>
        <w:pStyle w:val="FootnoteText"/>
        <w:tabs>
          <w:tab w:val="left" w:pos="720"/>
        </w:tabs>
        <w:spacing w:after="120"/>
        <w:ind w:firstLine="360"/>
        <w:rPr>
          <w:rFonts w:ascii="Times New Roman" w:hAnsi="Times New Roman"/>
          <w:sz w:val="22"/>
          <w:szCs w:val="22"/>
        </w:rPr>
      </w:pPr>
      <w:r w:rsidRPr="00B61E0E">
        <w:rPr>
          <w:rStyle w:val="FootnoteReference"/>
          <w:rFonts w:ascii="Times New Roman" w:hAnsi="Times New Roman"/>
          <w:sz w:val="22"/>
          <w:szCs w:val="22"/>
        </w:rPr>
        <w:footnoteRef/>
      </w:r>
      <w:r>
        <w:rPr>
          <w:rFonts w:ascii="Times New Roman" w:eastAsia="Times New Roman" w:hAnsi="Times New Roman"/>
          <w:sz w:val="22"/>
          <w:szCs w:val="22"/>
        </w:rPr>
        <w:tab/>
      </w:r>
      <w:r w:rsidRPr="00B61E0E">
        <w:rPr>
          <w:rFonts w:ascii="Times New Roman" w:eastAsia="Times New Roman" w:hAnsi="Times New Roman"/>
          <w:sz w:val="22"/>
          <w:szCs w:val="22"/>
        </w:rPr>
        <w:t>Report, p. 1</w:t>
      </w:r>
      <w:r>
        <w:rPr>
          <w:rFonts w:ascii="Times New Roman" w:eastAsia="Times New Roman" w:hAnsi="Times New Roman"/>
          <w:sz w:val="22"/>
          <w:szCs w:val="22"/>
        </w:rPr>
        <w:t xml:space="preserve"> </w:t>
      </w:r>
      <w:r w:rsidRPr="001F7F0E">
        <w:rPr>
          <w:rFonts w:ascii="Times New Roman" w:eastAsia="Times New Roman" w:hAnsi="Times New Roman"/>
          <w:sz w:val="22"/>
        </w:rPr>
        <w:t>(Dec. 29, 2016)</w:t>
      </w:r>
      <w:r w:rsidRPr="00B61E0E">
        <w:rPr>
          <w:rFonts w:ascii="Times New Roman" w:eastAsia="Times New Roman" w:hAnsi="Times New Roman"/>
          <w:sz w:val="22"/>
          <w:szCs w:val="22"/>
        </w:rPr>
        <w:t>.</w:t>
      </w:r>
    </w:p>
  </w:footnote>
  <w:footnote w:id="10">
    <w:p w:rsidR="00AF0EA9" w:rsidRDefault="00AF0EA9" w:rsidP="00B61E0E">
      <w:pPr>
        <w:pStyle w:val="FootnoteText"/>
        <w:tabs>
          <w:tab w:val="left" w:pos="720"/>
        </w:tabs>
        <w:ind w:firstLine="360"/>
      </w:pPr>
      <w:r w:rsidRPr="00B61E0E">
        <w:rPr>
          <w:rStyle w:val="FootnoteReference"/>
          <w:rFonts w:ascii="Times New Roman" w:hAnsi="Times New Roman"/>
          <w:sz w:val="22"/>
          <w:szCs w:val="22"/>
        </w:rPr>
        <w:footnoteRef/>
      </w:r>
      <w:r>
        <w:rPr>
          <w:rFonts w:ascii="Times New Roman" w:eastAsia="Times New Roman" w:hAnsi="Times New Roman"/>
          <w:sz w:val="22"/>
          <w:szCs w:val="22"/>
        </w:rPr>
        <w:tab/>
      </w:r>
      <w:r w:rsidRPr="00B61E0E">
        <w:rPr>
          <w:rFonts w:ascii="Times New Roman" w:eastAsia="Times New Roman" w:hAnsi="Times New Roman"/>
          <w:sz w:val="22"/>
          <w:szCs w:val="22"/>
        </w:rPr>
        <w:t>Report, p. 2</w:t>
      </w:r>
      <w:r>
        <w:rPr>
          <w:rFonts w:ascii="Times New Roman" w:eastAsia="Times New Roman" w:hAnsi="Times New Roman"/>
          <w:sz w:val="22"/>
          <w:szCs w:val="22"/>
        </w:rPr>
        <w:t xml:space="preserve"> </w:t>
      </w:r>
      <w:r w:rsidRPr="001F7F0E">
        <w:rPr>
          <w:rFonts w:ascii="Times New Roman" w:eastAsia="Times New Roman" w:hAnsi="Times New Roman"/>
          <w:sz w:val="22"/>
        </w:rPr>
        <w:t>(Dec. 29, 2016)</w:t>
      </w:r>
      <w:r w:rsidRPr="00B61E0E">
        <w:rPr>
          <w:rFonts w:ascii="Times New Roman" w:eastAsia="Times New Roman" w:hAnsi="Times New Roman"/>
          <w:sz w:val="22"/>
          <w:szCs w:val="22"/>
        </w:rPr>
        <w:t>.</w:t>
      </w:r>
    </w:p>
  </w:footnote>
  <w:footnote w:id="11">
    <w:p w:rsidR="00AF0EA9" w:rsidRPr="00B61E0E" w:rsidRDefault="00AF0EA9" w:rsidP="00B61E0E">
      <w:pPr>
        <w:pStyle w:val="FootnoteText"/>
        <w:tabs>
          <w:tab w:val="left" w:pos="720"/>
        </w:tabs>
        <w:spacing w:after="120"/>
        <w:ind w:firstLine="360"/>
        <w:rPr>
          <w:rFonts w:ascii="Times New Roman" w:hAnsi="Times New Roman"/>
          <w:sz w:val="22"/>
          <w:szCs w:val="22"/>
        </w:rPr>
      </w:pPr>
      <w:r w:rsidRPr="00B61E0E">
        <w:rPr>
          <w:rStyle w:val="FootnoteReference"/>
          <w:rFonts w:ascii="Times New Roman" w:hAnsi="Times New Roman"/>
          <w:sz w:val="22"/>
          <w:szCs w:val="22"/>
        </w:rPr>
        <w:footnoteRef/>
      </w:r>
      <w:r>
        <w:rPr>
          <w:rFonts w:ascii="Times New Roman" w:eastAsia="Times New Roman" w:hAnsi="Times New Roman"/>
          <w:sz w:val="22"/>
          <w:szCs w:val="22"/>
        </w:rPr>
        <w:tab/>
      </w:r>
      <w:r w:rsidRPr="00B61E0E">
        <w:rPr>
          <w:rFonts w:ascii="Times New Roman" w:eastAsia="Times New Roman" w:hAnsi="Times New Roman"/>
          <w:sz w:val="22"/>
          <w:szCs w:val="22"/>
        </w:rPr>
        <w:t>Report, p. 3</w:t>
      </w:r>
      <w:r>
        <w:rPr>
          <w:rFonts w:ascii="Times New Roman" w:eastAsia="Times New Roman" w:hAnsi="Times New Roman"/>
          <w:sz w:val="22"/>
          <w:szCs w:val="22"/>
        </w:rPr>
        <w:t xml:space="preserve"> </w:t>
      </w:r>
      <w:r w:rsidRPr="001F7F0E">
        <w:rPr>
          <w:rFonts w:ascii="Times New Roman" w:eastAsia="Times New Roman" w:hAnsi="Times New Roman"/>
          <w:sz w:val="22"/>
        </w:rPr>
        <w:t>(Dec. 29, 2016)</w:t>
      </w:r>
      <w:r w:rsidRPr="00B61E0E">
        <w:rPr>
          <w:rFonts w:ascii="Times New Roman" w:eastAsia="Times New Roman" w:hAnsi="Times New Roman"/>
          <w:sz w:val="22"/>
          <w:szCs w:val="22"/>
        </w:rPr>
        <w:t>.</w:t>
      </w:r>
    </w:p>
  </w:footnote>
  <w:footnote w:id="12">
    <w:p w:rsidR="00AF0EA9" w:rsidRPr="00B61E0E" w:rsidRDefault="00AF0EA9" w:rsidP="00B61E0E">
      <w:pPr>
        <w:pStyle w:val="FootnoteText"/>
        <w:tabs>
          <w:tab w:val="left" w:pos="720"/>
        </w:tabs>
        <w:spacing w:after="120"/>
        <w:ind w:firstLine="360"/>
        <w:rPr>
          <w:rFonts w:ascii="Times New Roman" w:hAnsi="Times New Roman"/>
          <w:sz w:val="22"/>
          <w:szCs w:val="22"/>
        </w:rPr>
      </w:pPr>
      <w:r w:rsidRPr="00B61E0E">
        <w:rPr>
          <w:rStyle w:val="FootnoteReference"/>
          <w:rFonts w:ascii="Times New Roman" w:hAnsi="Times New Roman"/>
          <w:sz w:val="22"/>
          <w:szCs w:val="22"/>
        </w:rPr>
        <w:footnoteRef/>
      </w:r>
      <w:r>
        <w:rPr>
          <w:rFonts w:ascii="Times New Roman" w:eastAsia="Times New Roman" w:hAnsi="Times New Roman"/>
          <w:sz w:val="22"/>
          <w:szCs w:val="22"/>
        </w:rPr>
        <w:tab/>
      </w:r>
      <w:r w:rsidRPr="00B61E0E">
        <w:rPr>
          <w:rFonts w:ascii="Times New Roman" w:eastAsia="Times New Roman" w:hAnsi="Times New Roman"/>
          <w:sz w:val="22"/>
          <w:szCs w:val="22"/>
        </w:rPr>
        <w:t>Report, p. 4</w:t>
      </w:r>
      <w:r>
        <w:rPr>
          <w:rFonts w:ascii="Times New Roman" w:eastAsia="Times New Roman" w:hAnsi="Times New Roman"/>
          <w:sz w:val="22"/>
          <w:szCs w:val="22"/>
        </w:rPr>
        <w:t xml:space="preserve"> </w:t>
      </w:r>
      <w:r w:rsidRPr="001F7F0E">
        <w:rPr>
          <w:rFonts w:ascii="Times New Roman" w:eastAsia="Times New Roman" w:hAnsi="Times New Roman"/>
          <w:sz w:val="22"/>
        </w:rPr>
        <w:t>(Dec. 29, 2016)</w:t>
      </w:r>
      <w:r w:rsidRPr="00B61E0E">
        <w:rPr>
          <w:rFonts w:ascii="Times New Roman" w:eastAsia="Times New Roman" w:hAnsi="Times New Roman"/>
          <w:sz w:val="22"/>
          <w:szCs w:val="22"/>
        </w:rPr>
        <w:t>.</w:t>
      </w:r>
    </w:p>
  </w:footnote>
  <w:footnote w:id="13">
    <w:p w:rsidR="00AF0EA9" w:rsidRPr="00B61E0E" w:rsidRDefault="00AF0EA9" w:rsidP="00B61E0E">
      <w:pPr>
        <w:pStyle w:val="FootnoteText"/>
        <w:tabs>
          <w:tab w:val="left" w:pos="720"/>
        </w:tabs>
        <w:spacing w:after="120"/>
        <w:ind w:firstLine="360"/>
        <w:rPr>
          <w:rFonts w:ascii="Times New Roman" w:hAnsi="Times New Roman"/>
          <w:sz w:val="22"/>
          <w:szCs w:val="22"/>
        </w:rPr>
      </w:pPr>
      <w:r w:rsidRPr="00B61E0E">
        <w:rPr>
          <w:rStyle w:val="FootnoteReference"/>
          <w:rFonts w:ascii="Times New Roman" w:hAnsi="Times New Roman"/>
          <w:sz w:val="22"/>
          <w:szCs w:val="22"/>
        </w:rPr>
        <w:footnoteRef/>
      </w:r>
      <w:r>
        <w:rPr>
          <w:rFonts w:ascii="Times New Roman" w:eastAsia="Times New Roman" w:hAnsi="Times New Roman"/>
          <w:sz w:val="22"/>
          <w:szCs w:val="22"/>
        </w:rPr>
        <w:tab/>
      </w:r>
      <w:r w:rsidRPr="00B61E0E">
        <w:rPr>
          <w:rFonts w:ascii="Times New Roman" w:eastAsia="Times New Roman" w:hAnsi="Times New Roman"/>
          <w:sz w:val="22"/>
          <w:szCs w:val="22"/>
        </w:rPr>
        <w:t>Report, p. 4</w:t>
      </w:r>
      <w:r>
        <w:rPr>
          <w:rFonts w:ascii="Times New Roman" w:eastAsia="Times New Roman" w:hAnsi="Times New Roman"/>
          <w:sz w:val="22"/>
          <w:szCs w:val="22"/>
        </w:rPr>
        <w:t xml:space="preserve"> </w:t>
      </w:r>
      <w:r w:rsidRPr="001F7F0E">
        <w:rPr>
          <w:rFonts w:ascii="Times New Roman" w:eastAsia="Times New Roman" w:hAnsi="Times New Roman"/>
          <w:sz w:val="22"/>
        </w:rPr>
        <w:t>(Dec. 29, 2016)</w:t>
      </w:r>
      <w:r w:rsidRPr="00B61E0E">
        <w:rPr>
          <w:rFonts w:ascii="Times New Roman" w:eastAsia="Times New Roman" w:hAnsi="Times New Roman"/>
          <w:sz w:val="22"/>
          <w:szCs w:val="22"/>
        </w:rPr>
        <w:t>.</w:t>
      </w:r>
    </w:p>
  </w:footnote>
  <w:footnote w:id="14">
    <w:p w:rsidR="00AF0EA9" w:rsidRPr="00B61E0E" w:rsidRDefault="00AF0EA9" w:rsidP="00B61E0E">
      <w:pPr>
        <w:pStyle w:val="FootnoteText"/>
        <w:tabs>
          <w:tab w:val="left" w:pos="720"/>
        </w:tabs>
        <w:spacing w:after="120"/>
        <w:ind w:firstLine="360"/>
        <w:rPr>
          <w:rFonts w:ascii="Times New Roman" w:hAnsi="Times New Roman"/>
          <w:sz w:val="22"/>
          <w:szCs w:val="22"/>
        </w:rPr>
      </w:pPr>
      <w:r w:rsidRPr="00B61E0E">
        <w:rPr>
          <w:rStyle w:val="FootnoteReference"/>
          <w:rFonts w:ascii="Times New Roman" w:hAnsi="Times New Roman"/>
          <w:sz w:val="22"/>
          <w:szCs w:val="22"/>
        </w:rPr>
        <w:footnoteRef/>
      </w:r>
      <w:r>
        <w:rPr>
          <w:rFonts w:ascii="Times New Roman" w:eastAsia="Times New Roman" w:hAnsi="Times New Roman"/>
          <w:sz w:val="22"/>
          <w:szCs w:val="22"/>
        </w:rPr>
        <w:tab/>
      </w:r>
      <w:r w:rsidRPr="00B61E0E">
        <w:rPr>
          <w:rFonts w:ascii="Times New Roman" w:eastAsia="Times New Roman" w:hAnsi="Times New Roman"/>
          <w:sz w:val="22"/>
          <w:szCs w:val="22"/>
        </w:rPr>
        <w:t>Report, p. 4</w:t>
      </w:r>
      <w:r>
        <w:rPr>
          <w:rFonts w:ascii="Times New Roman" w:eastAsia="Times New Roman" w:hAnsi="Times New Roman"/>
          <w:sz w:val="22"/>
          <w:szCs w:val="22"/>
        </w:rPr>
        <w:t xml:space="preserve"> </w:t>
      </w:r>
      <w:r w:rsidRPr="001F7F0E">
        <w:rPr>
          <w:rFonts w:ascii="Times New Roman" w:eastAsia="Times New Roman" w:hAnsi="Times New Roman"/>
          <w:sz w:val="22"/>
        </w:rPr>
        <w:t>(Dec. 29, 2016)</w:t>
      </w:r>
      <w:r w:rsidRPr="00B61E0E">
        <w:rPr>
          <w:rFonts w:ascii="Times New Roman" w:eastAsia="Times New Roman" w:hAnsi="Times New Roman"/>
          <w:sz w:val="22"/>
          <w:szCs w:val="22"/>
        </w:rPr>
        <w:t>.</w:t>
      </w:r>
    </w:p>
  </w:footnote>
  <w:footnote w:id="15">
    <w:p w:rsidR="00AF0EA9" w:rsidRPr="00B61E0E" w:rsidRDefault="00AF0EA9" w:rsidP="00B61E0E">
      <w:pPr>
        <w:pStyle w:val="FootnoteText"/>
        <w:tabs>
          <w:tab w:val="left" w:pos="720"/>
        </w:tabs>
        <w:spacing w:after="120"/>
        <w:ind w:firstLine="360"/>
        <w:rPr>
          <w:rFonts w:ascii="Times New Roman" w:hAnsi="Times New Roman"/>
          <w:sz w:val="22"/>
          <w:szCs w:val="22"/>
        </w:rPr>
      </w:pPr>
      <w:r w:rsidRPr="00B61E0E">
        <w:rPr>
          <w:rStyle w:val="FootnoteReference"/>
          <w:rFonts w:ascii="Times New Roman" w:hAnsi="Times New Roman"/>
          <w:sz w:val="22"/>
          <w:szCs w:val="22"/>
        </w:rPr>
        <w:footnoteRef/>
      </w:r>
      <w:r>
        <w:rPr>
          <w:rFonts w:ascii="Times New Roman" w:eastAsia="Times New Roman" w:hAnsi="Times New Roman"/>
          <w:sz w:val="22"/>
          <w:szCs w:val="22"/>
        </w:rPr>
        <w:tab/>
      </w:r>
      <w:r w:rsidRPr="00B61E0E">
        <w:rPr>
          <w:rFonts w:ascii="Times New Roman" w:eastAsia="Times New Roman" w:hAnsi="Times New Roman"/>
          <w:sz w:val="22"/>
          <w:szCs w:val="22"/>
        </w:rPr>
        <w:t>Report, p. 4</w:t>
      </w:r>
      <w:r>
        <w:rPr>
          <w:rFonts w:ascii="Times New Roman" w:eastAsia="Times New Roman" w:hAnsi="Times New Roman"/>
          <w:sz w:val="22"/>
          <w:szCs w:val="22"/>
        </w:rPr>
        <w:t xml:space="preserve"> </w:t>
      </w:r>
      <w:r w:rsidRPr="001F7F0E">
        <w:rPr>
          <w:rFonts w:ascii="Times New Roman" w:eastAsia="Times New Roman" w:hAnsi="Times New Roman"/>
          <w:sz w:val="22"/>
        </w:rPr>
        <w:t>(Dec. 29, 2016)</w:t>
      </w:r>
      <w:r w:rsidRPr="00B61E0E">
        <w:rPr>
          <w:rFonts w:ascii="Times New Roman" w:eastAsia="Times New Roman" w:hAnsi="Times New Roman"/>
          <w:sz w:val="22"/>
          <w:szCs w:val="22"/>
        </w:rPr>
        <w:t>.</w:t>
      </w:r>
    </w:p>
  </w:footnote>
  <w:footnote w:id="16">
    <w:p w:rsidR="00AF0EA9" w:rsidRPr="00B61E0E" w:rsidRDefault="00AF0EA9" w:rsidP="00B61E0E">
      <w:pPr>
        <w:pStyle w:val="FootnoteText"/>
        <w:tabs>
          <w:tab w:val="left" w:pos="720"/>
        </w:tabs>
        <w:spacing w:after="120"/>
        <w:ind w:firstLine="360"/>
        <w:rPr>
          <w:rFonts w:ascii="Times New Roman" w:hAnsi="Times New Roman"/>
          <w:sz w:val="22"/>
          <w:szCs w:val="22"/>
        </w:rPr>
      </w:pPr>
      <w:r w:rsidRPr="00B61E0E">
        <w:rPr>
          <w:rStyle w:val="FootnoteReference"/>
          <w:rFonts w:ascii="Times New Roman" w:hAnsi="Times New Roman"/>
          <w:sz w:val="22"/>
          <w:szCs w:val="22"/>
        </w:rPr>
        <w:footnoteRef/>
      </w:r>
      <w:r>
        <w:rPr>
          <w:rFonts w:ascii="Times New Roman" w:eastAsia="Times New Roman" w:hAnsi="Times New Roman"/>
          <w:sz w:val="22"/>
          <w:szCs w:val="22"/>
        </w:rPr>
        <w:tab/>
      </w:r>
      <w:r w:rsidRPr="00B61E0E">
        <w:rPr>
          <w:rFonts w:ascii="Times New Roman" w:eastAsia="Times New Roman" w:hAnsi="Times New Roman"/>
          <w:sz w:val="22"/>
          <w:szCs w:val="22"/>
        </w:rPr>
        <w:t>Report, p. 5</w:t>
      </w:r>
      <w:r>
        <w:rPr>
          <w:rFonts w:ascii="Times New Roman" w:eastAsia="Times New Roman" w:hAnsi="Times New Roman"/>
          <w:sz w:val="22"/>
          <w:szCs w:val="22"/>
        </w:rPr>
        <w:t xml:space="preserve"> </w:t>
      </w:r>
      <w:r w:rsidRPr="001F7F0E">
        <w:rPr>
          <w:rFonts w:ascii="Times New Roman" w:eastAsia="Times New Roman" w:hAnsi="Times New Roman"/>
          <w:sz w:val="22"/>
        </w:rPr>
        <w:t>(Dec. 29, 2016)</w:t>
      </w:r>
      <w:r w:rsidRPr="00B61E0E">
        <w:rPr>
          <w:rFonts w:ascii="Times New Roman" w:eastAsia="Times New Roman" w:hAnsi="Times New Roman"/>
          <w:sz w:val="22"/>
          <w:szCs w:val="22"/>
        </w:rPr>
        <w:t>.</w:t>
      </w:r>
    </w:p>
  </w:footnote>
  <w:footnote w:id="17">
    <w:p w:rsidR="00AF0EA9" w:rsidRPr="00B61E0E" w:rsidRDefault="00AF0EA9" w:rsidP="00B61E0E">
      <w:pPr>
        <w:pStyle w:val="FootnoteText"/>
        <w:tabs>
          <w:tab w:val="left" w:pos="720"/>
        </w:tabs>
        <w:spacing w:after="120"/>
        <w:ind w:firstLine="360"/>
        <w:rPr>
          <w:rFonts w:ascii="Times New Roman" w:hAnsi="Times New Roman"/>
          <w:sz w:val="22"/>
          <w:szCs w:val="22"/>
        </w:rPr>
      </w:pPr>
      <w:r w:rsidRPr="00B61E0E">
        <w:rPr>
          <w:rStyle w:val="FootnoteReference"/>
          <w:rFonts w:ascii="Times New Roman" w:hAnsi="Times New Roman"/>
          <w:sz w:val="22"/>
          <w:szCs w:val="22"/>
        </w:rPr>
        <w:footnoteRef/>
      </w:r>
      <w:r>
        <w:rPr>
          <w:rFonts w:ascii="Times New Roman" w:eastAsia="Times New Roman" w:hAnsi="Times New Roman"/>
          <w:sz w:val="22"/>
          <w:szCs w:val="22"/>
        </w:rPr>
        <w:tab/>
      </w:r>
      <w:r w:rsidRPr="00B61E0E">
        <w:rPr>
          <w:rFonts w:ascii="Times New Roman" w:eastAsia="Times New Roman" w:hAnsi="Times New Roman"/>
          <w:sz w:val="22"/>
          <w:szCs w:val="22"/>
        </w:rPr>
        <w:t>Report, p. 8</w:t>
      </w:r>
      <w:r>
        <w:rPr>
          <w:rFonts w:ascii="Times New Roman" w:eastAsia="Times New Roman" w:hAnsi="Times New Roman"/>
          <w:sz w:val="22"/>
          <w:szCs w:val="22"/>
        </w:rPr>
        <w:t xml:space="preserve"> </w:t>
      </w:r>
      <w:r w:rsidRPr="001F7F0E">
        <w:rPr>
          <w:rFonts w:ascii="Times New Roman" w:eastAsia="Times New Roman" w:hAnsi="Times New Roman"/>
          <w:sz w:val="22"/>
        </w:rPr>
        <w:t>(Dec. 29, 2016)</w:t>
      </w:r>
      <w:r w:rsidRPr="00B61E0E">
        <w:rPr>
          <w:rFonts w:ascii="Times New Roman" w:eastAsia="Times New Roman" w:hAnsi="Times New Roman"/>
          <w:sz w:val="22"/>
          <w:szCs w:val="22"/>
        </w:rPr>
        <w:t>.</w:t>
      </w:r>
    </w:p>
  </w:footnote>
  <w:footnote w:id="18">
    <w:p w:rsidR="00AF0EA9" w:rsidRDefault="00AF0EA9" w:rsidP="00B61E0E">
      <w:pPr>
        <w:pStyle w:val="FootnoteText"/>
        <w:tabs>
          <w:tab w:val="left" w:pos="720"/>
        </w:tabs>
        <w:spacing w:after="120"/>
        <w:ind w:firstLine="360"/>
      </w:pPr>
      <w:r w:rsidRPr="00B61E0E">
        <w:rPr>
          <w:rStyle w:val="FootnoteReference"/>
          <w:rFonts w:ascii="Times New Roman" w:hAnsi="Times New Roman"/>
          <w:sz w:val="22"/>
          <w:szCs w:val="22"/>
        </w:rPr>
        <w:footnoteRef/>
      </w:r>
      <w:r>
        <w:rPr>
          <w:rFonts w:ascii="Times New Roman" w:eastAsia="Times New Roman" w:hAnsi="Times New Roman"/>
          <w:sz w:val="22"/>
          <w:szCs w:val="22"/>
        </w:rPr>
        <w:tab/>
      </w:r>
      <w:r w:rsidRPr="00B61E0E">
        <w:rPr>
          <w:rFonts w:ascii="Times New Roman" w:eastAsia="Times New Roman" w:hAnsi="Times New Roman"/>
          <w:sz w:val="22"/>
          <w:szCs w:val="22"/>
        </w:rPr>
        <w:t>Report, p. 9</w:t>
      </w:r>
      <w:r>
        <w:rPr>
          <w:rFonts w:ascii="Times New Roman" w:eastAsia="Times New Roman" w:hAnsi="Times New Roman"/>
          <w:sz w:val="22"/>
          <w:szCs w:val="22"/>
        </w:rPr>
        <w:t xml:space="preserve"> </w:t>
      </w:r>
      <w:r w:rsidRPr="001F7F0E">
        <w:rPr>
          <w:rFonts w:ascii="Times New Roman" w:eastAsia="Times New Roman" w:hAnsi="Times New Roman"/>
          <w:sz w:val="22"/>
        </w:rPr>
        <w:t>(Dec. 29, 2016)</w:t>
      </w:r>
      <w:r w:rsidRPr="00B61E0E">
        <w:rPr>
          <w:rFonts w:ascii="Times New Roman" w:eastAsia="Times New Roman" w:hAnsi="Times New Roman"/>
          <w:sz w:val="22"/>
          <w:szCs w:val="22"/>
        </w:rPr>
        <w:t>.</w:t>
      </w:r>
    </w:p>
  </w:footnote>
  <w:footnote w:id="19">
    <w:p w:rsidR="00AF0EA9" w:rsidRPr="00B61E0E" w:rsidRDefault="00AF0EA9" w:rsidP="00B61E0E">
      <w:pPr>
        <w:pStyle w:val="FootnoteText"/>
        <w:tabs>
          <w:tab w:val="left" w:pos="720"/>
        </w:tabs>
        <w:spacing w:after="120"/>
        <w:ind w:firstLine="360"/>
        <w:rPr>
          <w:rFonts w:ascii="Times New Roman" w:hAnsi="Times New Roman"/>
          <w:sz w:val="22"/>
          <w:szCs w:val="22"/>
        </w:rPr>
      </w:pPr>
      <w:r w:rsidRPr="00B61E0E">
        <w:rPr>
          <w:rStyle w:val="FootnoteReference"/>
          <w:rFonts w:ascii="Times New Roman" w:hAnsi="Times New Roman"/>
          <w:sz w:val="22"/>
          <w:szCs w:val="22"/>
        </w:rPr>
        <w:footnoteRef/>
      </w:r>
      <w:r>
        <w:rPr>
          <w:rFonts w:ascii="Times New Roman" w:eastAsia="Times New Roman" w:hAnsi="Times New Roman"/>
          <w:sz w:val="22"/>
          <w:szCs w:val="22"/>
        </w:rPr>
        <w:tab/>
      </w:r>
      <w:r w:rsidRPr="00B61E0E">
        <w:rPr>
          <w:rFonts w:ascii="Times New Roman" w:eastAsia="Times New Roman" w:hAnsi="Times New Roman"/>
          <w:sz w:val="22"/>
          <w:szCs w:val="22"/>
        </w:rPr>
        <w:t>Report, p. 9</w:t>
      </w:r>
      <w:r>
        <w:rPr>
          <w:rFonts w:ascii="Times New Roman" w:eastAsia="Times New Roman" w:hAnsi="Times New Roman"/>
          <w:sz w:val="22"/>
          <w:szCs w:val="22"/>
        </w:rPr>
        <w:t xml:space="preserve"> </w:t>
      </w:r>
      <w:r w:rsidRPr="001F7F0E">
        <w:rPr>
          <w:rFonts w:ascii="Times New Roman" w:eastAsia="Times New Roman" w:hAnsi="Times New Roman"/>
          <w:sz w:val="22"/>
        </w:rPr>
        <w:t>(Dec. 29, 2016)</w:t>
      </w:r>
      <w:r w:rsidRPr="00B61E0E">
        <w:rPr>
          <w:rFonts w:ascii="Times New Roman" w:eastAsia="Times New Roman" w:hAnsi="Times New Roman"/>
          <w:sz w:val="22"/>
          <w:szCs w:val="22"/>
        </w:rPr>
        <w:t>.</w:t>
      </w:r>
    </w:p>
  </w:footnote>
  <w:footnote w:id="20">
    <w:p w:rsidR="00AF0EA9" w:rsidRPr="00B61E0E" w:rsidRDefault="00AF0EA9" w:rsidP="00B61E0E">
      <w:pPr>
        <w:pStyle w:val="FootnoteText"/>
        <w:tabs>
          <w:tab w:val="left" w:pos="720"/>
        </w:tabs>
        <w:spacing w:after="120"/>
        <w:ind w:firstLine="360"/>
        <w:rPr>
          <w:rFonts w:ascii="Times New Roman" w:hAnsi="Times New Roman"/>
          <w:sz w:val="22"/>
          <w:szCs w:val="22"/>
        </w:rPr>
      </w:pPr>
      <w:r w:rsidRPr="00B61E0E">
        <w:rPr>
          <w:rStyle w:val="FootnoteReference"/>
          <w:rFonts w:ascii="Times New Roman" w:hAnsi="Times New Roman"/>
          <w:sz w:val="22"/>
          <w:szCs w:val="22"/>
        </w:rPr>
        <w:footnoteRef/>
      </w:r>
      <w:r>
        <w:rPr>
          <w:rFonts w:ascii="Times New Roman" w:eastAsia="Times New Roman" w:hAnsi="Times New Roman"/>
          <w:sz w:val="22"/>
          <w:szCs w:val="22"/>
        </w:rPr>
        <w:tab/>
      </w:r>
      <w:r w:rsidRPr="00B61E0E">
        <w:rPr>
          <w:rFonts w:ascii="Times New Roman" w:eastAsia="Times New Roman" w:hAnsi="Times New Roman"/>
          <w:sz w:val="22"/>
          <w:szCs w:val="22"/>
        </w:rPr>
        <w:t>Report, p. 9</w:t>
      </w:r>
      <w:r>
        <w:rPr>
          <w:rFonts w:ascii="Times New Roman" w:eastAsia="Times New Roman" w:hAnsi="Times New Roman"/>
          <w:sz w:val="22"/>
          <w:szCs w:val="22"/>
        </w:rPr>
        <w:t xml:space="preserve"> </w:t>
      </w:r>
      <w:r w:rsidRPr="001F7F0E">
        <w:rPr>
          <w:rFonts w:ascii="Times New Roman" w:eastAsia="Times New Roman" w:hAnsi="Times New Roman"/>
          <w:sz w:val="22"/>
        </w:rPr>
        <w:t>(Dec. 29, 2016)</w:t>
      </w:r>
      <w:r w:rsidRPr="00B61E0E">
        <w:rPr>
          <w:rFonts w:ascii="Times New Roman" w:eastAsia="Times New Roman" w:hAnsi="Times New Roman"/>
          <w:sz w:val="22"/>
          <w:szCs w:val="22"/>
        </w:rPr>
        <w:t>.</w:t>
      </w:r>
    </w:p>
  </w:footnote>
  <w:footnote w:id="21">
    <w:p w:rsidR="00AF0EA9" w:rsidRPr="00B61E0E" w:rsidRDefault="00AF0EA9" w:rsidP="00B61E0E">
      <w:pPr>
        <w:pStyle w:val="FootnoteText"/>
        <w:tabs>
          <w:tab w:val="left" w:pos="720"/>
        </w:tabs>
        <w:spacing w:after="120"/>
        <w:ind w:firstLine="360"/>
        <w:rPr>
          <w:rFonts w:ascii="Times New Roman" w:hAnsi="Times New Roman"/>
          <w:sz w:val="22"/>
          <w:szCs w:val="22"/>
        </w:rPr>
      </w:pPr>
      <w:r w:rsidRPr="00B61E0E">
        <w:rPr>
          <w:rStyle w:val="FootnoteReference"/>
          <w:rFonts w:ascii="Times New Roman" w:hAnsi="Times New Roman"/>
          <w:sz w:val="22"/>
          <w:szCs w:val="22"/>
        </w:rPr>
        <w:footnoteRef/>
      </w:r>
      <w:r>
        <w:rPr>
          <w:rFonts w:ascii="Times New Roman" w:eastAsia="Times New Roman" w:hAnsi="Times New Roman"/>
          <w:sz w:val="22"/>
          <w:szCs w:val="22"/>
        </w:rPr>
        <w:tab/>
      </w:r>
      <w:r w:rsidRPr="00B61E0E">
        <w:rPr>
          <w:rFonts w:ascii="Times New Roman" w:eastAsia="Times New Roman" w:hAnsi="Times New Roman"/>
          <w:sz w:val="22"/>
          <w:szCs w:val="22"/>
        </w:rPr>
        <w:t>Report, p. 8</w:t>
      </w:r>
      <w:r>
        <w:rPr>
          <w:rFonts w:ascii="Times New Roman" w:eastAsia="Times New Roman" w:hAnsi="Times New Roman"/>
          <w:sz w:val="22"/>
          <w:szCs w:val="22"/>
        </w:rPr>
        <w:t xml:space="preserve"> </w:t>
      </w:r>
      <w:r w:rsidRPr="001F7F0E">
        <w:rPr>
          <w:rFonts w:ascii="Times New Roman" w:eastAsia="Times New Roman" w:hAnsi="Times New Roman"/>
          <w:sz w:val="22"/>
        </w:rPr>
        <w:t>(Dec. 29, 2016)</w:t>
      </w:r>
      <w:r w:rsidRPr="00B61E0E">
        <w:rPr>
          <w:rFonts w:ascii="Times New Roman" w:eastAsia="Times New Roman" w:hAnsi="Times New Roman"/>
          <w:sz w:val="22"/>
          <w:szCs w:val="22"/>
        </w:rPr>
        <w:t>.</w:t>
      </w:r>
    </w:p>
  </w:footnote>
  <w:footnote w:id="22">
    <w:p w:rsidR="00AF0EA9" w:rsidRPr="00B61E0E" w:rsidRDefault="00AF0EA9" w:rsidP="00B61E0E">
      <w:pPr>
        <w:pStyle w:val="FootnoteText"/>
        <w:tabs>
          <w:tab w:val="left" w:pos="720"/>
        </w:tabs>
        <w:spacing w:after="120"/>
        <w:ind w:firstLine="360"/>
        <w:rPr>
          <w:rFonts w:ascii="Times New Roman" w:hAnsi="Times New Roman"/>
          <w:sz w:val="22"/>
          <w:szCs w:val="22"/>
        </w:rPr>
      </w:pPr>
      <w:r w:rsidRPr="00B61E0E">
        <w:rPr>
          <w:rStyle w:val="FootnoteReference"/>
          <w:rFonts w:ascii="Times New Roman" w:hAnsi="Times New Roman"/>
          <w:sz w:val="22"/>
          <w:szCs w:val="22"/>
        </w:rPr>
        <w:footnoteRef/>
      </w:r>
      <w:r>
        <w:rPr>
          <w:rFonts w:ascii="Times New Roman" w:eastAsia="Times New Roman" w:hAnsi="Times New Roman"/>
          <w:sz w:val="22"/>
          <w:szCs w:val="22"/>
        </w:rPr>
        <w:tab/>
      </w:r>
      <w:r w:rsidRPr="00B61E0E">
        <w:rPr>
          <w:rFonts w:ascii="Times New Roman" w:eastAsia="Times New Roman" w:hAnsi="Times New Roman"/>
          <w:sz w:val="22"/>
          <w:szCs w:val="22"/>
        </w:rPr>
        <w:t>Report, p. 9</w:t>
      </w:r>
      <w:r>
        <w:rPr>
          <w:rFonts w:ascii="Times New Roman" w:eastAsia="Times New Roman" w:hAnsi="Times New Roman"/>
          <w:sz w:val="22"/>
          <w:szCs w:val="22"/>
        </w:rPr>
        <w:t xml:space="preserve"> </w:t>
      </w:r>
      <w:r w:rsidRPr="001F7F0E">
        <w:rPr>
          <w:rFonts w:ascii="Times New Roman" w:eastAsia="Times New Roman" w:hAnsi="Times New Roman"/>
          <w:sz w:val="22"/>
        </w:rPr>
        <w:t>(Dec. 29, 2016)</w:t>
      </w:r>
      <w:r w:rsidRPr="00B61E0E">
        <w:rPr>
          <w:rFonts w:ascii="Times New Roman" w:eastAsia="Times New Roman" w:hAnsi="Times New Roman"/>
          <w:sz w:val="22"/>
          <w:szCs w:val="22"/>
        </w:rPr>
        <w:t>.</w:t>
      </w:r>
    </w:p>
  </w:footnote>
  <w:footnote w:id="23">
    <w:p w:rsidR="00AF0EA9" w:rsidRPr="00B61E0E" w:rsidRDefault="00AF0EA9" w:rsidP="00B61E0E">
      <w:pPr>
        <w:pStyle w:val="FootnoteText"/>
        <w:tabs>
          <w:tab w:val="left" w:pos="720"/>
        </w:tabs>
        <w:spacing w:after="120"/>
        <w:ind w:firstLine="360"/>
        <w:rPr>
          <w:rFonts w:ascii="Times New Roman" w:hAnsi="Times New Roman"/>
          <w:sz w:val="22"/>
          <w:szCs w:val="22"/>
        </w:rPr>
      </w:pPr>
      <w:r w:rsidRPr="00B61E0E">
        <w:rPr>
          <w:rStyle w:val="FootnoteReference"/>
          <w:rFonts w:ascii="Times New Roman" w:hAnsi="Times New Roman"/>
          <w:sz w:val="22"/>
          <w:szCs w:val="22"/>
        </w:rPr>
        <w:footnoteRef/>
      </w:r>
      <w:r w:rsidRPr="00B61E0E">
        <w:rPr>
          <w:rFonts w:ascii="Times New Roman" w:eastAsia="Times New Roman" w:hAnsi="Times New Roman"/>
          <w:sz w:val="22"/>
          <w:szCs w:val="22"/>
        </w:rPr>
        <w:tab/>
        <w:t>Report, p. 9</w:t>
      </w:r>
      <w:r>
        <w:rPr>
          <w:rFonts w:ascii="Times New Roman" w:eastAsia="Times New Roman" w:hAnsi="Times New Roman"/>
          <w:sz w:val="22"/>
          <w:szCs w:val="22"/>
        </w:rPr>
        <w:t xml:space="preserve"> </w:t>
      </w:r>
      <w:r w:rsidRPr="001F7F0E">
        <w:rPr>
          <w:rFonts w:ascii="Times New Roman" w:eastAsia="Times New Roman" w:hAnsi="Times New Roman"/>
          <w:sz w:val="22"/>
        </w:rPr>
        <w:t>(Dec. 29, 2016)</w:t>
      </w:r>
      <w:r w:rsidRPr="00B61E0E">
        <w:rPr>
          <w:rFonts w:ascii="Times New Roman" w:eastAsia="Times New Roman" w:hAnsi="Times New Roman"/>
          <w:sz w:val="22"/>
          <w:szCs w:val="22"/>
        </w:rPr>
        <w:t>.</w:t>
      </w:r>
    </w:p>
  </w:footnote>
  <w:footnote w:id="24">
    <w:p w:rsidR="00AF0EA9" w:rsidRDefault="00AF0EA9" w:rsidP="00B61E0E">
      <w:pPr>
        <w:pStyle w:val="FootnoteText"/>
        <w:tabs>
          <w:tab w:val="left" w:pos="720"/>
        </w:tabs>
        <w:ind w:firstLine="360"/>
      </w:pPr>
      <w:r w:rsidRPr="00B61E0E">
        <w:rPr>
          <w:rStyle w:val="FootnoteReference"/>
          <w:rFonts w:ascii="Times New Roman" w:hAnsi="Times New Roman"/>
          <w:sz w:val="22"/>
          <w:szCs w:val="22"/>
        </w:rPr>
        <w:footnoteRef/>
      </w:r>
      <w:r>
        <w:rPr>
          <w:rFonts w:ascii="Times New Roman" w:eastAsia="Times New Roman" w:hAnsi="Times New Roman"/>
          <w:sz w:val="22"/>
          <w:szCs w:val="22"/>
        </w:rPr>
        <w:tab/>
      </w:r>
      <w:r w:rsidRPr="00B61E0E">
        <w:rPr>
          <w:rFonts w:ascii="Times New Roman" w:eastAsia="Times New Roman" w:hAnsi="Times New Roman"/>
          <w:sz w:val="22"/>
          <w:szCs w:val="22"/>
        </w:rPr>
        <w:t>Report, p. 9</w:t>
      </w:r>
      <w:r>
        <w:rPr>
          <w:rFonts w:ascii="Times New Roman" w:eastAsia="Times New Roman" w:hAnsi="Times New Roman"/>
          <w:sz w:val="22"/>
          <w:szCs w:val="22"/>
        </w:rPr>
        <w:t xml:space="preserve"> </w:t>
      </w:r>
      <w:r w:rsidRPr="001F7F0E">
        <w:rPr>
          <w:rFonts w:ascii="Times New Roman" w:eastAsia="Times New Roman" w:hAnsi="Times New Roman"/>
          <w:sz w:val="22"/>
        </w:rPr>
        <w:t>(Dec. 29, 2016)</w:t>
      </w:r>
      <w:r w:rsidRPr="00B61E0E">
        <w:rPr>
          <w:rFonts w:ascii="Times New Roman" w:eastAsia="Times New Roman" w:hAnsi="Times New Roman"/>
          <w:sz w:val="22"/>
          <w:szCs w:val="22"/>
        </w:rPr>
        <w:t>.</w:t>
      </w:r>
    </w:p>
  </w:footnote>
  <w:footnote w:id="25">
    <w:p w:rsidR="00AF0EA9" w:rsidRPr="000674FC" w:rsidRDefault="00AF0EA9" w:rsidP="000674FC">
      <w:pPr>
        <w:pStyle w:val="FootnoteText"/>
        <w:tabs>
          <w:tab w:val="left" w:pos="720"/>
        </w:tabs>
        <w:spacing w:after="120"/>
        <w:ind w:firstLine="360"/>
        <w:rPr>
          <w:rFonts w:ascii="Times New Roman" w:hAnsi="Times New Roman"/>
          <w:sz w:val="22"/>
          <w:szCs w:val="22"/>
        </w:rPr>
      </w:pPr>
      <w:r w:rsidRPr="000674FC">
        <w:rPr>
          <w:rStyle w:val="FootnoteReference"/>
          <w:rFonts w:ascii="Times New Roman" w:hAnsi="Times New Roman"/>
          <w:sz w:val="22"/>
          <w:szCs w:val="22"/>
        </w:rPr>
        <w:footnoteRef/>
      </w:r>
      <w:r>
        <w:rPr>
          <w:rFonts w:ascii="Times New Roman" w:eastAsia="Times New Roman" w:hAnsi="Times New Roman"/>
          <w:sz w:val="22"/>
          <w:szCs w:val="22"/>
        </w:rPr>
        <w:tab/>
      </w:r>
      <w:r w:rsidRPr="000674FC">
        <w:rPr>
          <w:rFonts w:ascii="Times New Roman" w:eastAsia="Times New Roman" w:hAnsi="Times New Roman"/>
          <w:sz w:val="22"/>
          <w:szCs w:val="22"/>
        </w:rPr>
        <w:t>Report, p. 10</w:t>
      </w:r>
      <w:r>
        <w:rPr>
          <w:rFonts w:ascii="Times New Roman" w:eastAsia="Times New Roman" w:hAnsi="Times New Roman"/>
          <w:sz w:val="22"/>
          <w:szCs w:val="22"/>
        </w:rPr>
        <w:t xml:space="preserve"> </w:t>
      </w:r>
      <w:r w:rsidRPr="001F7F0E">
        <w:rPr>
          <w:rFonts w:ascii="Times New Roman" w:eastAsia="Times New Roman" w:hAnsi="Times New Roman"/>
          <w:sz w:val="22"/>
        </w:rPr>
        <w:t>(Dec. 29, 2016)</w:t>
      </w:r>
      <w:r w:rsidRPr="000674FC">
        <w:rPr>
          <w:rFonts w:ascii="Times New Roman" w:eastAsia="Times New Roman" w:hAnsi="Times New Roman"/>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3CEAC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41780"/>
    <w:multiLevelType w:val="hybridMultilevel"/>
    <w:tmpl w:val="3B00F9C2"/>
    <w:lvl w:ilvl="0" w:tplc="394A360E">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0BDD5DC5"/>
    <w:multiLevelType w:val="hybridMultilevel"/>
    <w:tmpl w:val="EA5A4138"/>
    <w:lvl w:ilvl="0" w:tplc="FD30E2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DA05BA"/>
    <w:multiLevelType w:val="hybridMultilevel"/>
    <w:tmpl w:val="49BC3BD4"/>
    <w:lvl w:ilvl="0" w:tplc="7584DC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178CD"/>
    <w:multiLevelType w:val="hybridMultilevel"/>
    <w:tmpl w:val="5886A43C"/>
    <w:lvl w:ilvl="0" w:tplc="B95EF2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B843CA1"/>
    <w:multiLevelType w:val="hybridMultilevel"/>
    <w:tmpl w:val="5D9C8586"/>
    <w:lvl w:ilvl="0" w:tplc="3DCE6CB2">
      <w:start w:val="1"/>
      <w:numFmt w:val="decimal"/>
      <w:lvlText w:val="%1."/>
      <w:lvlJc w:val="left"/>
      <w:pPr>
        <w:ind w:left="169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716E83"/>
    <w:multiLevelType w:val="hybridMultilevel"/>
    <w:tmpl w:val="C3169AE6"/>
    <w:lvl w:ilvl="0" w:tplc="D2A49C68">
      <w:start w:val="1"/>
      <w:numFmt w:val="bullet"/>
      <w:pStyle w:val="MSBulletedLis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stylePaneSortMethod w:val="0000"/>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5CB2"/>
    <w:rsid w:val="00000068"/>
    <w:rsid w:val="00000121"/>
    <w:rsid w:val="0000740A"/>
    <w:rsid w:val="00007B20"/>
    <w:rsid w:val="00010D9F"/>
    <w:rsid w:val="00012009"/>
    <w:rsid w:val="000153F3"/>
    <w:rsid w:val="00017246"/>
    <w:rsid w:val="00024014"/>
    <w:rsid w:val="00024B8F"/>
    <w:rsid w:val="000365AC"/>
    <w:rsid w:val="00036A8D"/>
    <w:rsid w:val="0004342B"/>
    <w:rsid w:val="00044F46"/>
    <w:rsid w:val="0004593A"/>
    <w:rsid w:val="000466B1"/>
    <w:rsid w:val="00065423"/>
    <w:rsid w:val="000674FC"/>
    <w:rsid w:val="00080449"/>
    <w:rsid w:val="00094A90"/>
    <w:rsid w:val="00094CD1"/>
    <w:rsid w:val="000A6230"/>
    <w:rsid w:val="000A6399"/>
    <w:rsid w:val="000B4F23"/>
    <w:rsid w:val="000C0E81"/>
    <w:rsid w:val="000C2A1B"/>
    <w:rsid w:val="000C5BC4"/>
    <w:rsid w:val="000C624F"/>
    <w:rsid w:val="000D4C3B"/>
    <w:rsid w:val="000D7231"/>
    <w:rsid w:val="000E2CD1"/>
    <w:rsid w:val="000E3D45"/>
    <w:rsid w:val="000E67D1"/>
    <w:rsid w:val="000E6901"/>
    <w:rsid w:val="000E6C71"/>
    <w:rsid w:val="000F3781"/>
    <w:rsid w:val="000F3DF5"/>
    <w:rsid w:val="000F5D57"/>
    <w:rsid w:val="000F6FBB"/>
    <w:rsid w:val="00101043"/>
    <w:rsid w:val="001029D0"/>
    <w:rsid w:val="00104276"/>
    <w:rsid w:val="00104E9B"/>
    <w:rsid w:val="0010680D"/>
    <w:rsid w:val="001079C9"/>
    <w:rsid w:val="00114C7B"/>
    <w:rsid w:val="00130207"/>
    <w:rsid w:val="00133C52"/>
    <w:rsid w:val="0013593B"/>
    <w:rsid w:val="00135980"/>
    <w:rsid w:val="00137C03"/>
    <w:rsid w:val="0014303D"/>
    <w:rsid w:val="00151FA5"/>
    <w:rsid w:val="001550AC"/>
    <w:rsid w:val="00155AAC"/>
    <w:rsid w:val="00160AA3"/>
    <w:rsid w:val="001659EB"/>
    <w:rsid w:val="001706F6"/>
    <w:rsid w:val="001837A2"/>
    <w:rsid w:val="00187103"/>
    <w:rsid w:val="00190338"/>
    <w:rsid w:val="00191009"/>
    <w:rsid w:val="001A04AE"/>
    <w:rsid w:val="001A163C"/>
    <w:rsid w:val="001A6180"/>
    <w:rsid w:val="001A7E87"/>
    <w:rsid w:val="001B5F7B"/>
    <w:rsid w:val="001C4252"/>
    <w:rsid w:val="001D0F01"/>
    <w:rsid w:val="001D283F"/>
    <w:rsid w:val="001E15BE"/>
    <w:rsid w:val="001E17C7"/>
    <w:rsid w:val="001E32F0"/>
    <w:rsid w:val="001E50B9"/>
    <w:rsid w:val="001E7E72"/>
    <w:rsid w:val="001F09F9"/>
    <w:rsid w:val="001F5C16"/>
    <w:rsid w:val="001F7C4B"/>
    <w:rsid w:val="001F7F0E"/>
    <w:rsid w:val="001F7F7D"/>
    <w:rsid w:val="00200A5B"/>
    <w:rsid w:val="002012E6"/>
    <w:rsid w:val="002018D9"/>
    <w:rsid w:val="0020292E"/>
    <w:rsid w:val="00203EB0"/>
    <w:rsid w:val="002048BA"/>
    <w:rsid w:val="00206F20"/>
    <w:rsid w:val="0021681D"/>
    <w:rsid w:val="00227B32"/>
    <w:rsid w:val="00231840"/>
    <w:rsid w:val="002319F6"/>
    <w:rsid w:val="00243656"/>
    <w:rsid w:val="0025605F"/>
    <w:rsid w:val="00260286"/>
    <w:rsid w:val="002630E6"/>
    <w:rsid w:val="002717CD"/>
    <w:rsid w:val="0027241B"/>
    <w:rsid w:val="00273A8A"/>
    <w:rsid w:val="00293FC6"/>
    <w:rsid w:val="002959B5"/>
    <w:rsid w:val="00295C34"/>
    <w:rsid w:val="002A1E09"/>
    <w:rsid w:val="002A6608"/>
    <w:rsid w:val="002B0D79"/>
    <w:rsid w:val="002B2CF3"/>
    <w:rsid w:val="002B60A6"/>
    <w:rsid w:val="002B7F32"/>
    <w:rsid w:val="002C4BCA"/>
    <w:rsid w:val="002C6756"/>
    <w:rsid w:val="002D19E3"/>
    <w:rsid w:val="002E103D"/>
    <w:rsid w:val="002E2C19"/>
    <w:rsid w:val="002E4FA7"/>
    <w:rsid w:val="002E5860"/>
    <w:rsid w:val="003049B2"/>
    <w:rsid w:val="00307789"/>
    <w:rsid w:val="00312F59"/>
    <w:rsid w:val="0031724B"/>
    <w:rsid w:val="003174D9"/>
    <w:rsid w:val="00322EA0"/>
    <w:rsid w:val="0032365A"/>
    <w:rsid w:val="00323827"/>
    <w:rsid w:val="00327C6B"/>
    <w:rsid w:val="00334AC5"/>
    <w:rsid w:val="0033664A"/>
    <w:rsid w:val="00341C99"/>
    <w:rsid w:val="003450A4"/>
    <w:rsid w:val="00345B00"/>
    <w:rsid w:val="0034658D"/>
    <w:rsid w:val="00347051"/>
    <w:rsid w:val="00351C24"/>
    <w:rsid w:val="003528FF"/>
    <w:rsid w:val="00355C5D"/>
    <w:rsid w:val="00370175"/>
    <w:rsid w:val="003748CB"/>
    <w:rsid w:val="00374E39"/>
    <w:rsid w:val="00377516"/>
    <w:rsid w:val="00382254"/>
    <w:rsid w:val="003865C1"/>
    <w:rsid w:val="00393124"/>
    <w:rsid w:val="00394168"/>
    <w:rsid w:val="00397181"/>
    <w:rsid w:val="003975E6"/>
    <w:rsid w:val="003A13AA"/>
    <w:rsid w:val="003A16D6"/>
    <w:rsid w:val="003A1B29"/>
    <w:rsid w:val="003A4FA8"/>
    <w:rsid w:val="003A7081"/>
    <w:rsid w:val="003B0446"/>
    <w:rsid w:val="003C07A5"/>
    <w:rsid w:val="003C73E6"/>
    <w:rsid w:val="003D1CC8"/>
    <w:rsid w:val="003D35E2"/>
    <w:rsid w:val="003D45C3"/>
    <w:rsid w:val="003D4CCA"/>
    <w:rsid w:val="003D6327"/>
    <w:rsid w:val="003E5EB7"/>
    <w:rsid w:val="003E6095"/>
    <w:rsid w:val="003E6E41"/>
    <w:rsid w:val="003F2BDA"/>
    <w:rsid w:val="003F5A44"/>
    <w:rsid w:val="00404D6A"/>
    <w:rsid w:val="00414B76"/>
    <w:rsid w:val="00415A21"/>
    <w:rsid w:val="00425E22"/>
    <w:rsid w:val="00425FB0"/>
    <w:rsid w:val="00426C88"/>
    <w:rsid w:val="00435277"/>
    <w:rsid w:val="00435CB2"/>
    <w:rsid w:val="004375CF"/>
    <w:rsid w:val="004375D3"/>
    <w:rsid w:val="0044428F"/>
    <w:rsid w:val="00446582"/>
    <w:rsid w:val="004476C0"/>
    <w:rsid w:val="00454AA2"/>
    <w:rsid w:val="00455E2A"/>
    <w:rsid w:val="00457F8F"/>
    <w:rsid w:val="0046734A"/>
    <w:rsid w:val="004726FA"/>
    <w:rsid w:val="00475C99"/>
    <w:rsid w:val="00486034"/>
    <w:rsid w:val="00490574"/>
    <w:rsid w:val="00491E52"/>
    <w:rsid w:val="00495BE4"/>
    <w:rsid w:val="00496557"/>
    <w:rsid w:val="00497788"/>
    <w:rsid w:val="004977D4"/>
    <w:rsid w:val="004A19E1"/>
    <w:rsid w:val="004A6547"/>
    <w:rsid w:val="004B2064"/>
    <w:rsid w:val="004B6E07"/>
    <w:rsid w:val="004C1976"/>
    <w:rsid w:val="004C2307"/>
    <w:rsid w:val="004C316C"/>
    <w:rsid w:val="004D124A"/>
    <w:rsid w:val="004D2778"/>
    <w:rsid w:val="004D397A"/>
    <w:rsid w:val="004D5AB8"/>
    <w:rsid w:val="004E1EF6"/>
    <w:rsid w:val="004F2B97"/>
    <w:rsid w:val="004F66F8"/>
    <w:rsid w:val="004F7837"/>
    <w:rsid w:val="00500031"/>
    <w:rsid w:val="0050124E"/>
    <w:rsid w:val="00504C5D"/>
    <w:rsid w:val="00507990"/>
    <w:rsid w:val="005137E0"/>
    <w:rsid w:val="00517CAE"/>
    <w:rsid w:val="0052599A"/>
    <w:rsid w:val="00534677"/>
    <w:rsid w:val="00544F19"/>
    <w:rsid w:val="00551D6B"/>
    <w:rsid w:val="00552BAE"/>
    <w:rsid w:val="005543D2"/>
    <w:rsid w:val="00566D70"/>
    <w:rsid w:val="005739CF"/>
    <w:rsid w:val="00590CCD"/>
    <w:rsid w:val="00590FD6"/>
    <w:rsid w:val="00591486"/>
    <w:rsid w:val="005926AD"/>
    <w:rsid w:val="00595906"/>
    <w:rsid w:val="005A2B6F"/>
    <w:rsid w:val="005A3730"/>
    <w:rsid w:val="005A4639"/>
    <w:rsid w:val="005A4AD8"/>
    <w:rsid w:val="005A6379"/>
    <w:rsid w:val="005B33C5"/>
    <w:rsid w:val="005B4709"/>
    <w:rsid w:val="005B7116"/>
    <w:rsid w:val="005B7BC3"/>
    <w:rsid w:val="005C02A8"/>
    <w:rsid w:val="005C4E88"/>
    <w:rsid w:val="005D08E1"/>
    <w:rsid w:val="005D1B55"/>
    <w:rsid w:val="005E693F"/>
    <w:rsid w:val="005F05D9"/>
    <w:rsid w:val="005F16E1"/>
    <w:rsid w:val="005F1BA2"/>
    <w:rsid w:val="005F5738"/>
    <w:rsid w:val="005F747D"/>
    <w:rsid w:val="006003A9"/>
    <w:rsid w:val="00600455"/>
    <w:rsid w:val="006054B3"/>
    <w:rsid w:val="00611201"/>
    <w:rsid w:val="006114F2"/>
    <w:rsid w:val="00614151"/>
    <w:rsid w:val="00614DA2"/>
    <w:rsid w:val="00615877"/>
    <w:rsid w:val="00616410"/>
    <w:rsid w:val="00620F4B"/>
    <w:rsid w:val="0062173C"/>
    <w:rsid w:val="00623699"/>
    <w:rsid w:val="006263F5"/>
    <w:rsid w:val="0063228E"/>
    <w:rsid w:val="006332B9"/>
    <w:rsid w:val="00633B45"/>
    <w:rsid w:val="006345EC"/>
    <w:rsid w:val="00640A85"/>
    <w:rsid w:val="00644ADF"/>
    <w:rsid w:val="00644C26"/>
    <w:rsid w:val="0064776B"/>
    <w:rsid w:val="00652E16"/>
    <w:rsid w:val="006543AA"/>
    <w:rsid w:val="00656708"/>
    <w:rsid w:val="006579B5"/>
    <w:rsid w:val="0066484C"/>
    <w:rsid w:val="0067070B"/>
    <w:rsid w:val="00673172"/>
    <w:rsid w:val="006771D5"/>
    <w:rsid w:val="00683BF5"/>
    <w:rsid w:val="006848F4"/>
    <w:rsid w:val="006868B9"/>
    <w:rsid w:val="00690D64"/>
    <w:rsid w:val="0069153E"/>
    <w:rsid w:val="00691AF5"/>
    <w:rsid w:val="00694A48"/>
    <w:rsid w:val="006952FD"/>
    <w:rsid w:val="00697500"/>
    <w:rsid w:val="006A0E16"/>
    <w:rsid w:val="006B0FD6"/>
    <w:rsid w:val="006B6C5A"/>
    <w:rsid w:val="006D0C3F"/>
    <w:rsid w:val="006D1449"/>
    <w:rsid w:val="006D4375"/>
    <w:rsid w:val="006E1052"/>
    <w:rsid w:val="006E2898"/>
    <w:rsid w:val="006E33AC"/>
    <w:rsid w:val="006E6092"/>
    <w:rsid w:val="006F035F"/>
    <w:rsid w:val="006F6C38"/>
    <w:rsid w:val="006F7ABB"/>
    <w:rsid w:val="00704262"/>
    <w:rsid w:val="007104B7"/>
    <w:rsid w:val="0071371A"/>
    <w:rsid w:val="00713FA5"/>
    <w:rsid w:val="007158ED"/>
    <w:rsid w:val="00716B09"/>
    <w:rsid w:val="00721FE5"/>
    <w:rsid w:val="00724230"/>
    <w:rsid w:val="00726A33"/>
    <w:rsid w:val="007341FA"/>
    <w:rsid w:val="00741F5A"/>
    <w:rsid w:val="00744720"/>
    <w:rsid w:val="00750B41"/>
    <w:rsid w:val="00756FD6"/>
    <w:rsid w:val="0075748C"/>
    <w:rsid w:val="007633B7"/>
    <w:rsid w:val="007639D3"/>
    <w:rsid w:val="00773467"/>
    <w:rsid w:val="00774C48"/>
    <w:rsid w:val="00780738"/>
    <w:rsid w:val="00782176"/>
    <w:rsid w:val="007831C2"/>
    <w:rsid w:val="0078446A"/>
    <w:rsid w:val="00785228"/>
    <w:rsid w:val="00785BC9"/>
    <w:rsid w:val="00786B84"/>
    <w:rsid w:val="0079010F"/>
    <w:rsid w:val="007902F4"/>
    <w:rsid w:val="00790C77"/>
    <w:rsid w:val="00790CCA"/>
    <w:rsid w:val="007911FA"/>
    <w:rsid w:val="0079173B"/>
    <w:rsid w:val="007925D4"/>
    <w:rsid w:val="00796291"/>
    <w:rsid w:val="007A410C"/>
    <w:rsid w:val="007A45E8"/>
    <w:rsid w:val="007A53AD"/>
    <w:rsid w:val="007A6EB9"/>
    <w:rsid w:val="007A6EF5"/>
    <w:rsid w:val="007B0DBF"/>
    <w:rsid w:val="007B66DE"/>
    <w:rsid w:val="007C29D7"/>
    <w:rsid w:val="007C2B61"/>
    <w:rsid w:val="007D056E"/>
    <w:rsid w:val="007D2E57"/>
    <w:rsid w:val="007D7BA5"/>
    <w:rsid w:val="007E2073"/>
    <w:rsid w:val="007E5EF3"/>
    <w:rsid w:val="007E6A31"/>
    <w:rsid w:val="0081008C"/>
    <w:rsid w:val="00811431"/>
    <w:rsid w:val="00811B17"/>
    <w:rsid w:val="00811EA6"/>
    <w:rsid w:val="00813A03"/>
    <w:rsid w:val="00814FD9"/>
    <w:rsid w:val="00816FB6"/>
    <w:rsid w:val="00820FDA"/>
    <w:rsid w:val="008319AA"/>
    <w:rsid w:val="0083471E"/>
    <w:rsid w:val="00843024"/>
    <w:rsid w:val="00845DA3"/>
    <w:rsid w:val="008470B4"/>
    <w:rsid w:val="0085088F"/>
    <w:rsid w:val="00850FE1"/>
    <w:rsid w:val="00852FBC"/>
    <w:rsid w:val="00854D3A"/>
    <w:rsid w:val="00860BE7"/>
    <w:rsid w:val="008649D2"/>
    <w:rsid w:val="00867E15"/>
    <w:rsid w:val="00873337"/>
    <w:rsid w:val="00873A3A"/>
    <w:rsid w:val="00874D4B"/>
    <w:rsid w:val="00891B1A"/>
    <w:rsid w:val="00895B21"/>
    <w:rsid w:val="00897FF3"/>
    <w:rsid w:val="008A3A77"/>
    <w:rsid w:val="008B6D15"/>
    <w:rsid w:val="008C6F01"/>
    <w:rsid w:val="008D106B"/>
    <w:rsid w:val="008D1C30"/>
    <w:rsid w:val="008D59EE"/>
    <w:rsid w:val="008E0276"/>
    <w:rsid w:val="008E2CAF"/>
    <w:rsid w:val="008E3CF9"/>
    <w:rsid w:val="008E47D4"/>
    <w:rsid w:val="008E58A9"/>
    <w:rsid w:val="008E59D2"/>
    <w:rsid w:val="008E64AE"/>
    <w:rsid w:val="008F2496"/>
    <w:rsid w:val="00901AA7"/>
    <w:rsid w:val="00907167"/>
    <w:rsid w:val="00911E61"/>
    <w:rsid w:val="009148C8"/>
    <w:rsid w:val="00915C07"/>
    <w:rsid w:val="00916E81"/>
    <w:rsid w:val="00916E92"/>
    <w:rsid w:val="009274A1"/>
    <w:rsid w:val="00930A62"/>
    <w:rsid w:val="009337F5"/>
    <w:rsid w:val="00933C13"/>
    <w:rsid w:val="00933D4E"/>
    <w:rsid w:val="00937959"/>
    <w:rsid w:val="009434B1"/>
    <w:rsid w:val="00954222"/>
    <w:rsid w:val="00957FC9"/>
    <w:rsid w:val="0096235B"/>
    <w:rsid w:val="00962D51"/>
    <w:rsid w:val="0097787A"/>
    <w:rsid w:val="00977F09"/>
    <w:rsid w:val="00977F6D"/>
    <w:rsid w:val="00981221"/>
    <w:rsid w:val="00981D54"/>
    <w:rsid w:val="0098559A"/>
    <w:rsid w:val="00985780"/>
    <w:rsid w:val="00985F51"/>
    <w:rsid w:val="0099094A"/>
    <w:rsid w:val="00991556"/>
    <w:rsid w:val="009942ED"/>
    <w:rsid w:val="00995C48"/>
    <w:rsid w:val="009A47F0"/>
    <w:rsid w:val="009A725E"/>
    <w:rsid w:val="009B263D"/>
    <w:rsid w:val="009B411E"/>
    <w:rsid w:val="009B42C1"/>
    <w:rsid w:val="009C08B7"/>
    <w:rsid w:val="009C0C24"/>
    <w:rsid w:val="009C248D"/>
    <w:rsid w:val="009C2DF8"/>
    <w:rsid w:val="009C45CC"/>
    <w:rsid w:val="009C56EE"/>
    <w:rsid w:val="009D7C9F"/>
    <w:rsid w:val="009E17C1"/>
    <w:rsid w:val="009E3048"/>
    <w:rsid w:val="009F65D6"/>
    <w:rsid w:val="009F6ACB"/>
    <w:rsid w:val="00A00842"/>
    <w:rsid w:val="00A01B7E"/>
    <w:rsid w:val="00A02B72"/>
    <w:rsid w:val="00A06E82"/>
    <w:rsid w:val="00A119AD"/>
    <w:rsid w:val="00A14B05"/>
    <w:rsid w:val="00A15522"/>
    <w:rsid w:val="00A17F0E"/>
    <w:rsid w:val="00A223C4"/>
    <w:rsid w:val="00A243C1"/>
    <w:rsid w:val="00A2495D"/>
    <w:rsid w:val="00A251BD"/>
    <w:rsid w:val="00A27576"/>
    <w:rsid w:val="00A27909"/>
    <w:rsid w:val="00A311EF"/>
    <w:rsid w:val="00A3172E"/>
    <w:rsid w:val="00A32C26"/>
    <w:rsid w:val="00A35C4C"/>
    <w:rsid w:val="00A40A01"/>
    <w:rsid w:val="00A41181"/>
    <w:rsid w:val="00A5072A"/>
    <w:rsid w:val="00A531EF"/>
    <w:rsid w:val="00A601D0"/>
    <w:rsid w:val="00A612EE"/>
    <w:rsid w:val="00A64E49"/>
    <w:rsid w:val="00A65989"/>
    <w:rsid w:val="00A674F5"/>
    <w:rsid w:val="00A74636"/>
    <w:rsid w:val="00A76654"/>
    <w:rsid w:val="00A776A4"/>
    <w:rsid w:val="00A8473D"/>
    <w:rsid w:val="00A848CD"/>
    <w:rsid w:val="00A86434"/>
    <w:rsid w:val="00A912AE"/>
    <w:rsid w:val="00A92744"/>
    <w:rsid w:val="00A93C78"/>
    <w:rsid w:val="00AA0672"/>
    <w:rsid w:val="00AA6187"/>
    <w:rsid w:val="00AA6224"/>
    <w:rsid w:val="00AB311E"/>
    <w:rsid w:val="00AC19DB"/>
    <w:rsid w:val="00AC54CE"/>
    <w:rsid w:val="00AD0491"/>
    <w:rsid w:val="00AD0AF2"/>
    <w:rsid w:val="00AD2777"/>
    <w:rsid w:val="00AD340A"/>
    <w:rsid w:val="00AD554B"/>
    <w:rsid w:val="00AD6D38"/>
    <w:rsid w:val="00AF0EA9"/>
    <w:rsid w:val="00AF2756"/>
    <w:rsid w:val="00B026C3"/>
    <w:rsid w:val="00B06C46"/>
    <w:rsid w:val="00B06EDC"/>
    <w:rsid w:val="00B07769"/>
    <w:rsid w:val="00B1613A"/>
    <w:rsid w:val="00B171D7"/>
    <w:rsid w:val="00B175FA"/>
    <w:rsid w:val="00B27078"/>
    <w:rsid w:val="00B272B3"/>
    <w:rsid w:val="00B30911"/>
    <w:rsid w:val="00B44920"/>
    <w:rsid w:val="00B45E4F"/>
    <w:rsid w:val="00B50AFA"/>
    <w:rsid w:val="00B50C7F"/>
    <w:rsid w:val="00B52C89"/>
    <w:rsid w:val="00B54840"/>
    <w:rsid w:val="00B5509E"/>
    <w:rsid w:val="00B57701"/>
    <w:rsid w:val="00B61E0E"/>
    <w:rsid w:val="00B62593"/>
    <w:rsid w:val="00B65D3D"/>
    <w:rsid w:val="00B704A1"/>
    <w:rsid w:val="00B70D62"/>
    <w:rsid w:val="00B778DC"/>
    <w:rsid w:val="00B8795A"/>
    <w:rsid w:val="00B94B6C"/>
    <w:rsid w:val="00B95E4A"/>
    <w:rsid w:val="00B96145"/>
    <w:rsid w:val="00BA0731"/>
    <w:rsid w:val="00BA288F"/>
    <w:rsid w:val="00BA64AC"/>
    <w:rsid w:val="00BA709D"/>
    <w:rsid w:val="00BA7426"/>
    <w:rsid w:val="00BB3438"/>
    <w:rsid w:val="00BC0C31"/>
    <w:rsid w:val="00BC3035"/>
    <w:rsid w:val="00BC62F9"/>
    <w:rsid w:val="00BC7952"/>
    <w:rsid w:val="00BD0299"/>
    <w:rsid w:val="00BD3D65"/>
    <w:rsid w:val="00BD5CF9"/>
    <w:rsid w:val="00BE0E76"/>
    <w:rsid w:val="00BE3233"/>
    <w:rsid w:val="00BE588F"/>
    <w:rsid w:val="00BE5CC1"/>
    <w:rsid w:val="00BE6DC7"/>
    <w:rsid w:val="00BF2176"/>
    <w:rsid w:val="00BF3EA6"/>
    <w:rsid w:val="00BF479E"/>
    <w:rsid w:val="00BF6891"/>
    <w:rsid w:val="00C05A4F"/>
    <w:rsid w:val="00C079E9"/>
    <w:rsid w:val="00C20EC4"/>
    <w:rsid w:val="00C2572A"/>
    <w:rsid w:val="00C26474"/>
    <w:rsid w:val="00C26890"/>
    <w:rsid w:val="00C26E06"/>
    <w:rsid w:val="00C27C60"/>
    <w:rsid w:val="00C309E5"/>
    <w:rsid w:val="00C31BA5"/>
    <w:rsid w:val="00C36FB5"/>
    <w:rsid w:val="00C37B08"/>
    <w:rsid w:val="00C417BA"/>
    <w:rsid w:val="00C425FA"/>
    <w:rsid w:val="00C4409A"/>
    <w:rsid w:val="00C45A89"/>
    <w:rsid w:val="00C468C8"/>
    <w:rsid w:val="00C513C9"/>
    <w:rsid w:val="00C52AB0"/>
    <w:rsid w:val="00C6548E"/>
    <w:rsid w:val="00C66157"/>
    <w:rsid w:val="00C66902"/>
    <w:rsid w:val="00C70F73"/>
    <w:rsid w:val="00C93237"/>
    <w:rsid w:val="00C93587"/>
    <w:rsid w:val="00C96CF4"/>
    <w:rsid w:val="00CA3BC3"/>
    <w:rsid w:val="00CA5EB8"/>
    <w:rsid w:val="00CA64BC"/>
    <w:rsid w:val="00CA7B76"/>
    <w:rsid w:val="00CB22D3"/>
    <w:rsid w:val="00CB289E"/>
    <w:rsid w:val="00CB40B8"/>
    <w:rsid w:val="00CB5A5E"/>
    <w:rsid w:val="00CB6B3A"/>
    <w:rsid w:val="00CB7A42"/>
    <w:rsid w:val="00CB7A5E"/>
    <w:rsid w:val="00CD057F"/>
    <w:rsid w:val="00CD27DA"/>
    <w:rsid w:val="00CD5DDA"/>
    <w:rsid w:val="00CE03B3"/>
    <w:rsid w:val="00CE0625"/>
    <w:rsid w:val="00CE182E"/>
    <w:rsid w:val="00CE4457"/>
    <w:rsid w:val="00CF1544"/>
    <w:rsid w:val="00CF4654"/>
    <w:rsid w:val="00CF7A9A"/>
    <w:rsid w:val="00D06F48"/>
    <w:rsid w:val="00D10010"/>
    <w:rsid w:val="00D11A28"/>
    <w:rsid w:val="00D20E9E"/>
    <w:rsid w:val="00D210B2"/>
    <w:rsid w:val="00D24CE9"/>
    <w:rsid w:val="00D41EEB"/>
    <w:rsid w:val="00D42C70"/>
    <w:rsid w:val="00D51EDC"/>
    <w:rsid w:val="00D54020"/>
    <w:rsid w:val="00D6007A"/>
    <w:rsid w:val="00D61527"/>
    <w:rsid w:val="00D63177"/>
    <w:rsid w:val="00D73E72"/>
    <w:rsid w:val="00D82DC5"/>
    <w:rsid w:val="00D9420A"/>
    <w:rsid w:val="00D948C2"/>
    <w:rsid w:val="00D94F27"/>
    <w:rsid w:val="00DA016A"/>
    <w:rsid w:val="00DA39AB"/>
    <w:rsid w:val="00DA58A4"/>
    <w:rsid w:val="00DB29BF"/>
    <w:rsid w:val="00DB7D0A"/>
    <w:rsid w:val="00DC1923"/>
    <w:rsid w:val="00DC19F6"/>
    <w:rsid w:val="00DC4C5D"/>
    <w:rsid w:val="00DC66DE"/>
    <w:rsid w:val="00DC6F73"/>
    <w:rsid w:val="00DC7004"/>
    <w:rsid w:val="00DC7790"/>
    <w:rsid w:val="00DD0192"/>
    <w:rsid w:val="00DD1A6D"/>
    <w:rsid w:val="00DD286E"/>
    <w:rsid w:val="00DD33BB"/>
    <w:rsid w:val="00DD33EF"/>
    <w:rsid w:val="00DD539A"/>
    <w:rsid w:val="00DE0BF8"/>
    <w:rsid w:val="00DE0C04"/>
    <w:rsid w:val="00DE3B47"/>
    <w:rsid w:val="00DE42D1"/>
    <w:rsid w:val="00DF133B"/>
    <w:rsid w:val="00DF1F57"/>
    <w:rsid w:val="00DF5183"/>
    <w:rsid w:val="00DF5B95"/>
    <w:rsid w:val="00DF5D19"/>
    <w:rsid w:val="00DF73C8"/>
    <w:rsid w:val="00DF7F15"/>
    <w:rsid w:val="00E00607"/>
    <w:rsid w:val="00E01DE9"/>
    <w:rsid w:val="00E050DC"/>
    <w:rsid w:val="00E05702"/>
    <w:rsid w:val="00E10777"/>
    <w:rsid w:val="00E21C5D"/>
    <w:rsid w:val="00E31621"/>
    <w:rsid w:val="00E32491"/>
    <w:rsid w:val="00E33CC7"/>
    <w:rsid w:val="00E4226B"/>
    <w:rsid w:val="00E42D1C"/>
    <w:rsid w:val="00E45BD4"/>
    <w:rsid w:val="00E45BED"/>
    <w:rsid w:val="00E5056F"/>
    <w:rsid w:val="00E51CE7"/>
    <w:rsid w:val="00E53250"/>
    <w:rsid w:val="00E5444F"/>
    <w:rsid w:val="00E566F4"/>
    <w:rsid w:val="00E62FDF"/>
    <w:rsid w:val="00E66ACF"/>
    <w:rsid w:val="00E67338"/>
    <w:rsid w:val="00E727BA"/>
    <w:rsid w:val="00E73E63"/>
    <w:rsid w:val="00E74492"/>
    <w:rsid w:val="00E767C4"/>
    <w:rsid w:val="00E81B39"/>
    <w:rsid w:val="00E8260D"/>
    <w:rsid w:val="00E8372A"/>
    <w:rsid w:val="00E84015"/>
    <w:rsid w:val="00E85AEE"/>
    <w:rsid w:val="00E92CF9"/>
    <w:rsid w:val="00E943C9"/>
    <w:rsid w:val="00E94C7A"/>
    <w:rsid w:val="00E953E3"/>
    <w:rsid w:val="00EA08F1"/>
    <w:rsid w:val="00EA1EC7"/>
    <w:rsid w:val="00EA46FD"/>
    <w:rsid w:val="00EA492C"/>
    <w:rsid w:val="00EA62F6"/>
    <w:rsid w:val="00EB171B"/>
    <w:rsid w:val="00EB3312"/>
    <w:rsid w:val="00EB33E9"/>
    <w:rsid w:val="00EC3212"/>
    <w:rsid w:val="00EC4268"/>
    <w:rsid w:val="00EC4A8B"/>
    <w:rsid w:val="00ED3F79"/>
    <w:rsid w:val="00ED50C7"/>
    <w:rsid w:val="00ED63CE"/>
    <w:rsid w:val="00ED6F5A"/>
    <w:rsid w:val="00ED7C14"/>
    <w:rsid w:val="00EE15B4"/>
    <w:rsid w:val="00EE3FE1"/>
    <w:rsid w:val="00F071E9"/>
    <w:rsid w:val="00F10625"/>
    <w:rsid w:val="00F17082"/>
    <w:rsid w:val="00F20C7A"/>
    <w:rsid w:val="00F21D37"/>
    <w:rsid w:val="00F227DE"/>
    <w:rsid w:val="00F22F30"/>
    <w:rsid w:val="00F25108"/>
    <w:rsid w:val="00F325D8"/>
    <w:rsid w:val="00F326C4"/>
    <w:rsid w:val="00F33EAC"/>
    <w:rsid w:val="00F407FD"/>
    <w:rsid w:val="00F47C64"/>
    <w:rsid w:val="00F5044D"/>
    <w:rsid w:val="00F52C0B"/>
    <w:rsid w:val="00F550C8"/>
    <w:rsid w:val="00F55EFA"/>
    <w:rsid w:val="00F623D9"/>
    <w:rsid w:val="00F6663A"/>
    <w:rsid w:val="00F66C3D"/>
    <w:rsid w:val="00F67F64"/>
    <w:rsid w:val="00F74811"/>
    <w:rsid w:val="00F76625"/>
    <w:rsid w:val="00F803F8"/>
    <w:rsid w:val="00F81B25"/>
    <w:rsid w:val="00F86966"/>
    <w:rsid w:val="00FA5FE0"/>
    <w:rsid w:val="00FB56A3"/>
    <w:rsid w:val="00FC05D1"/>
    <w:rsid w:val="00FC0A7A"/>
    <w:rsid w:val="00FC165C"/>
    <w:rsid w:val="00FC3BA7"/>
    <w:rsid w:val="00FC695E"/>
    <w:rsid w:val="00FC71AA"/>
    <w:rsid w:val="00FD2C17"/>
    <w:rsid w:val="00FD3750"/>
    <w:rsid w:val="00FD38F0"/>
    <w:rsid w:val="00FD6F43"/>
    <w:rsid w:val="00FE2EF3"/>
    <w:rsid w:val="00FE3629"/>
    <w:rsid w:val="00FE3FF3"/>
    <w:rsid w:val="00FE7C0E"/>
    <w:rsid w:val="00FF15E1"/>
    <w:rsid w:val="00FF5407"/>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00F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2939"/>
  </w:style>
  <w:style w:type="character" w:customStyle="1" w:styleId="FootnoteTextChar">
    <w:name w:val="Footnote Text Char"/>
    <w:link w:val="FootnoteText"/>
    <w:uiPriority w:val="99"/>
    <w:rsid w:val="00DD2939"/>
    <w:rPr>
      <w:sz w:val="24"/>
      <w:szCs w:val="24"/>
    </w:rPr>
  </w:style>
  <w:style w:type="character" w:styleId="FootnoteReference">
    <w:name w:val="footnote reference"/>
    <w:uiPriority w:val="99"/>
    <w:unhideWhenUsed/>
    <w:rsid w:val="00DD2939"/>
    <w:rPr>
      <w:vertAlign w:val="superscript"/>
    </w:rPr>
  </w:style>
  <w:style w:type="paragraph" w:styleId="Header">
    <w:name w:val="header"/>
    <w:basedOn w:val="Normal"/>
    <w:link w:val="HeaderChar"/>
    <w:uiPriority w:val="99"/>
    <w:semiHidden/>
    <w:unhideWhenUsed/>
    <w:rsid w:val="00931504"/>
    <w:pPr>
      <w:tabs>
        <w:tab w:val="center" w:pos="4680"/>
        <w:tab w:val="right" w:pos="9360"/>
      </w:tabs>
    </w:pPr>
  </w:style>
  <w:style w:type="character" w:customStyle="1" w:styleId="HeaderChar">
    <w:name w:val="Header Char"/>
    <w:link w:val="Header"/>
    <w:uiPriority w:val="99"/>
    <w:semiHidden/>
    <w:rsid w:val="00931504"/>
    <w:rPr>
      <w:sz w:val="24"/>
      <w:szCs w:val="24"/>
    </w:rPr>
  </w:style>
  <w:style w:type="paragraph" w:styleId="Footer">
    <w:name w:val="footer"/>
    <w:basedOn w:val="Normal"/>
    <w:link w:val="FooterChar"/>
    <w:uiPriority w:val="99"/>
    <w:unhideWhenUsed/>
    <w:rsid w:val="00931504"/>
    <w:pPr>
      <w:tabs>
        <w:tab w:val="center" w:pos="4680"/>
        <w:tab w:val="right" w:pos="9360"/>
      </w:tabs>
    </w:pPr>
  </w:style>
  <w:style w:type="character" w:customStyle="1" w:styleId="FooterChar">
    <w:name w:val="Footer Char"/>
    <w:link w:val="Footer"/>
    <w:uiPriority w:val="99"/>
    <w:rsid w:val="00931504"/>
    <w:rPr>
      <w:sz w:val="24"/>
      <w:szCs w:val="24"/>
    </w:rPr>
  </w:style>
  <w:style w:type="paragraph" w:styleId="BalloonText">
    <w:name w:val="Balloon Text"/>
    <w:basedOn w:val="Normal"/>
    <w:link w:val="BalloonTextChar"/>
    <w:uiPriority w:val="99"/>
    <w:semiHidden/>
    <w:unhideWhenUsed/>
    <w:rsid w:val="00931504"/>
    <w:rPr>
      <w:rFonts w:ascii="Tahoma" w:hAnsi="Tahoma"/>
      <w:sz w:val="16"/>
      <w:szCs w:val="16"/>
    </w:rPr>
  </w:style>
  <w:style w:type="character" w:customStyle="1" w:styleId="BalloonTextChar">
    <w:name w:val="Balloon Text Char"/>
    <w:link w:val="BalloonText"/>
    <w:uiPriority w:val="99"/>
    <w:semiHidden/>
    <w:rsid w:val="00931504"/>
    <w:rPr>
      <w:rFonts w:ascii="Tahoma" w:hAnsi="Tahoma" w:cs="Tahoma"/>
      <w:sz w:val="16"/>
      <w:szCs w:val="16"/>
    </w:rPr>
  </w:style>
  <w:style w:type="character" w:styleId="Hyperlink">
    <w:name w:val="Hyperlink"/>
    <w:uiPriority w:val="99"/>
    <w:unhideWhenUsed/>
    <w:rsid w:val="00063A32"/>
    <w:rPr>
      <w:color w:val="0000FF"/>
      <w:u w:val="single"/>
    </w:rPr>
  </w:style>
  <w:style w:type="character" w:styleId="CommentReference">
    <w:name w:val="annotation reference"/>
    <w:uiPriority w:val="99"/>
    <w:semiHidden/>
    <w:unhideWhenUsed/>
    <w:rsid w:val="00C05A4F"/>
    <w:rPr>
      <w:sz w:val="18"/>
      <w:szCs w:val="18"/>
    </w:rPr>
  </w:style>
  <w:style w:type="paragraph" w:styleId="CommentText">
    <w:name w:val="annotation text"/>
    <w:basedOn w:val="Normal"/>
    <w:link w:val="CommentTextChar"/>
    <w:uiPriority w:val="99"/>
    <w:semiHidden/>
    <w:unhideWhenUsed/>
    <w:rsid w:val="00C05A4F"/>
  </w:style>
  <w:style w:type="character" w:customStyle="1" w:styleId="CommentTextChar">
    <w:name w:val="Comment Text Char"/>
    <w:link w:val="CommentText"/>
    <w:uiPriority w:val="99"/>
    <w:semiHidden/>
    <w:rsid w:val="00C05A4F"/>
    <w:rPr>
      <w:sz w:val="24"/>
      <w:szCs w:val="24"/>
    </w:rPr>
  </w:style>
  <w:style w:type="paragraph" w:styleId="CommentSubject">
    <w:name w:val="annotation subject"/>
    <w:basedOn w:val="CommentText"/>
    <w:next w:val="CommentText"/>
    <w:link w:val="CommentSubjectChar"/>
    <w:uiPriority w:val="99"/>
    <w:semiHidden/>
    <w:unhideWhenUsed/>
    <w:rsid w:val="00C05A4F"/>
    <w:rPr>
      <w:b/>
      <w:bCs/>
    </w:rPr>
  </w:style>
  <w:style w:type="character" w:customStyle="1" w:styleId="CommentSubjectChar">
    <w:name w:val="Comment Subject Char"/>
    <w:link w:val="CommentSubject"/>
    <w:uiPriority w:val="99"/>
    <w:semiHidden/>
    <w:rsid w:val="00C05A4F"/>
    <w:rPr>
      <w:b/>
      <w:bCs/>
      <w:sz w:val="24"/>
      <w:szCs w:val="24"/>
    </w:rPr>
  </w:style>
  <w:style w:type="paragraph" w:customStyle="1" w:styleId="MSBulletedList">
    <w:name w:val="M&amp;S Bulleted List"/>
    <w:basedOn w:val="LightGrid-Accent31"/>
    <w:qFormat/>
    <w:rsid w:val="006E33AC"/>
    <w:pPr>
      <w:numPr>
        <w:numId w:val="5"/>
      </w:numPr>
      <w:spacing w:after="140" w:line="260" w:lineRule="atLeast"/>
    </w:pPr>
    <w:rPr>
      <w:rFonts w:ascii="Calibri" w:eastAsia="Calibri" w:hAnsi="Calibri"/>
      <w:sz w:val="22"/>
      <w:szCs w:val="22"/>
    </w:rPr>
  </w:style>
  <w:style w:type="paragraph" w:customStyle="1" w:styleId="LightGrid-Accent31">
    <w:name w:val="Light Grid - Accent 31"/>
    <w:basedOn w:val="Normal"/>
    <w:uiPriority w:val="72"/>
    <w:qFormat/>
    <w:rsid w:val="006E33AC"/>
    <w:pPr>
      <w:ind w:left="720"/>
    </w:p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F2F5B-D7EE-4F11-A68C-75148051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1423</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Mair, Mair, Spade &amp; Thompson</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Mair</dc:creator>
  <cp:lastModifiedBy>VSPinkney</cp:lastModifiedBy>
  <cp:revision>3</cp:revision>
  <cp:lastPrinted>2017-01-24T02:26:00Z</cp:lastPrinted>
  <dcterms:created xsi:type="dcterms:W3CDTF">2017-01-24T04:16:00Z</dcterms:created>
  <dcterms:modified xsi:type="dcterms:W3CDTF">2017-01-24T04:29:00Z</dcterms:modified>
</cp:coreProperties>
</file>