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1E1C" w14:textId="77777777" w:rsidR="003A2782" w:rsidRPr="00F90DE0" w:rsidRDefault="003A2782" w:rsidP="003A2782">
      <w:pPr>
        <w:pStyle w:val="AttorneyName"/>
        <w:jc w:val="center"/>
        <w:rPr>
          <w:b/>
          <w:sz w:val="24"/>
          <w:szCs w:val="24"/>
        </w:rPr>
      </w:pPr>
      <w:bookmarkStart w:id="0" w:name="_GoBack"/>
      <w:bookmarkEnd w:id="0"/>
      <w:r>
        <w:rPr>
          <w:b/>
          <w:sz w:val="24"/>
          <w:szCs w:val="24"/>
        </w:rPr>
        <w:t>BEFORE THE GUAM PUBLIC UTILITIES COMMISSION</w:t>
      </w:r>
    </w:p>
    <w:p w14:paraId="426DD610" w14:textId="77777777" w:rsidR="003A2782" w:rsidRPr="00940243" w:rsidRDefault="003A2782" w:rsidP="003A2782">
      <w:pPr>
        <w:pStyle w:val="AttorneyName"/>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A2782" w:rsidRPr="00940243" w14:paraId="15A17E5F" w14:textId="77777777" w:rsidTr="001769A8">
        <w:tc>
          <w:tcPr>
            <w:tcW w:w="4542" w:type="dxa"/>
            <w:tcBorders>
              <w:bottom w:val="single" w:sz="4" w:space="0" w:color="auto"/>
            </w:tcBorders>
            <w:shd w:val="clear" w:color="auto" w:fill="auto"/>
          </w:tcPr>
          <w:p w14:paraId="0AB9FF01" w14:textId="77777777" w:rsidR="003A2782" w:rsidRDefault="003A2782" w:rsidP="001769A8">
            <w:pPr>
              <w:tabs>
                <w:tab w:val="left" w:pos="1500"/>
              </w:tabs>
              <w:rPr>
                <w:sz w:val="24"/>
                <w:szCs w:val="24"/>
              </w:rPr>
            </w:pPr>
            <w:bookmarkStart w:id="1" w:name="Parties"/>
            <w:bookmarkEnd w:id="1"/>
            <w:r>
              <w:rPr>
                <w:sz w:val="24"/>
                <w:szCs w:val="24"/>
              </w:rPr>
              <w:t>IN THE MATTER OF:</w:t>
            </w:r>
          </w:p>
          <w:p w14:paraId="1C787F04" w14:textId="77777777" w:rsidR="003A2782" w:rsidRDefault="003A2782" w:rsidP="001769A8">
            <w:pPr>
              <w:tabs>
                <w:tab w:val="left" w:pos="1500"/>
              </w:tabs>
              <w:rPr>
                <w:sz w:val="24"/>
                <w:szCs w:val="24"/>
              </w:rPr>
            </w:pPr>
          </w:p>
          <w:p w14:paraId="55AD7207" w14:textId="77777777" w:rsidR="003A2782" w:rsidRPr="00940243" w:rsidRDefault="003A2782" w:rsidP="00517B72">
            <w:pPr>
              <w:tabs>
                <w:tab w:val="left" w:pos="1500"/>
              </w:tabs>
              <w:ind w:left="0" w:firstLine="0"/>
              <w:rPr>
                <w:sz w:val="24"/>
                <w:szCs w:val="24"/>
              </w:rPr>
            </w:pPr>
            <w:r>
              <w:rPr>
                <w:sz w:val="24"/>
                <w:szCs w:val="24"/>
              </w:rPr>
              <w:t xml:space="preserve">The </w:t>
            </w:r>
            <w:r w:rsidR="00A00A63">
              <w:rPr>
                <w:sz w:val="24"/>
                <w:szCs w:val="24"/>
              </w:rPr>
              <w:t xml:space="preserve">Petition </w:t>
            </w:r>
            <w:r>
              <w:rPr>
                <w:sz w:val="24"/>
                <w:szCs w:val="24"/>
              </w:rPr>
              <w:t xml:space="preserve">of the Guam Power Authority </w:t>
            </w:r>
            <w:r w:rsidR="00A00A63">
              <w:rPr>
                <w:sz w:val="24"/>
                <w:szCs w:val="24"/>
              </w:rPr>
              <w:t>for</w:t>
            </w:r>
            <w:r>
              <w:rPr>
                <w:sz w:val="24"/>
                <w:szCs w:val="24"/>
              </w:rPr>
              <w:t xml:space="preserve"> Approval of </w:t>
            </w:r>
            <w:r w:rsidR="00A00A63">
              <w:rPr>
                <w:sz w:val="24"/>
                <w:szCs w:val="24"/>
              </w:rPr>
              <w:t xml:space="preserve">Procurement </w:t>
            </w:r>
            <w:r w:rsidR="00405C5F">
              <w:rPr>
                <w:sz w:val="24"/>
                <w:szCs w:val="24"/>
              </w:rPr>
              <w:t xml:space="preserve">of New </w:t>
            </w:r>
            <w:r w:rsidR="00A00A63">
              <w:rPr>
                <w:sz w:val="24"/>
                <w:szCs w:val="24"/>
              </w:rPr>
              <w:t>Generation Combined Cycle Units and to Proceed with Implementation of the Integrated Resource Plan (</w:t>
            </w:r>
            <w:r w:rsidR="00F8712C">
              <w:rPr>
                <w:sz w:val="24"/>
                <w:szCs w:val="24"/>
              </w:rPr>
              <w:t>IRP</w:t>
            </w:r>
            <w:r w:rsidR="00A00A63">
              <w:rPr>
                <w:sz w:val="24"/>
                <w:szCs w:val="24"/>
              </w:rPr>
              <w:t>)</w:t>
            </w:r>
            <w:r>
              <w:rPr>
                <w:sz w:val="24"/>
                <w:szCs w:val="24"/>
              </w:rPr>
              <w:t>.</w:t>
            </w:r>
          </w:p>
        </w:tc>
        <w:tc>
          <w:tcPr>
            <w:tcW w:w="276" w:type="dxa"/>
            <w:shd w:val="clear" w:color="auto" w:fill="auto"/>
          </w:tcPr>
          <w:p w14:paraId="79FC4B82" w14:textId="77777777" w:rsidR="003A2782" w:rsidRPr="00940243" w:rsidRDefault="003A2782" w:rsidP="001769A8">
            <w:pPr>
              <w:pStyle w:val="SingleSpacing"/>
              <w:spacing w:line="240" w:lineRule="auto"/>
              <w:rPr>
                <w:sz w:val="24"/>
                <w:szCs w:val="24"/>
              </w:rPr>
            </w:pPr>
            <w:r w:rsidRPr="00940243">
              <w:rPr>
                <w:sz w:val="24"/>
                <w:szCs w:val="24"/>
              </w:rPr>
              <w:t>)</w:t>
            </w:r>
          </w:p>
          <w:p w14:paraId="5EE9B9AE" w14:textId="77777777" w:rsidR="003A2782" w:rsidRPr="00940243" w:rsidRDefault="003A2782" w:rsidP="001769A8">
            <w:pPr>
              <w:pStyle w:val="SingleSpacing"/>
              <w:spacing w:line="240" w:lineRule="auto"/>
              <w:rPr>
                <w:sz w:val="24"/>
                <w:szCs w:val="24"/>
              </w:rPr>
            </w:pPr>
            <w:r w:rsidRPr="00940243">
              <w:rPr>
                <w:sz w:val="24"/>
                <w:szCs w:val="24"/>
              </w:rPr>
              <w:t>)</w:t>
            </w:r>
          </w:p>
          <w:p w14:paraId="47852100" w14:textId="77777777" w:rsidR="003A2782" w:rsidRPr="00940243" w:rsidRDefault="003A2782" w:rsidP="001769A8">
            <w:pPr>
              <w:pStyle w:val="SingleSpacing"/>
              <w:spacing w:line="240" w:lineRule="auto"/>
              <w:rPr>
                <w:sz w:val="24"/>
                <w:szCs w:val="24"/>
              </w:rPr>
            </w:pPr>
            <w:r w:rsidRPr="00940243">
              <w:rPr>
                <w:sz w:val="24"/>
                <w:szCs w:val="24"/>
              </w:rPr>
              <w:t>)</w:t>
            </w:r>
          </w:p>
          <w:p w14:paraId="594FE034" w14:textId="77777777" w:rsidR="003A2782" w:rsidRPr="00940243" w:rsidRDefault="003A2782" w:rsidP="001769A8">
            <w:pPr>
              <w:pStyle w:val="SingleSpacing"/>
              <w:spacing w:line="240" w:lineRule="auto"/>
              <w:rPr>
                <w:sz w:val="24"/>
                <w:szCs w:val="24"/>
              </w:rPr>
            </w:pPr>
            <w:r w:rsidRPr="00940243">
              <w:rPr>
                <w:sz w:val="24"/>
                <w:szCs w:val="24"/>
              </w:rPr>
              <w:t>)</w:t>
            </w:r>
          </w:p>
          <w:p w14:paraId="6859179C" w14:textId="77777777" w:rsidR="003A2782" w:rsidRPr="00940243" w:rsidRDefault="003A2782" w:rsidP="001769A8">
            <w:pPr>
              <w:pStyle w:val="SingleSpacing"/>
              <w:spacing w:line="240" w:lineRule="auto"/>
              <w:rPr>
                <w:sz w:val="24"/>
                <w:szCs w:val="24"/>
              </w:rPr>
            </w:pPr>
            <w:r w:rsidRPr="00940243">
              <w:rPr>
                <w:sz w:val="24"/>
                <w:szCs w:val="24"/>
              </w:rPr>
              <w:t>)</w:t>
            </w:r>
          </w:p>
          <w:p w14:paraId="3CEBAB04" w14:textId="77777777" w:rsidR="003A2782" w:rsidRPr="00940243" w:rsidRDefault="003A2782" w:rsidP="001769A8">
            <w:pPr>
              <w:pStyle w:val="SingleSpacing"/>
              <w:spacing w:line="240" w:lineRule="auto"/>
              <w:rPr>
                <w:sz w:val="24"/>
                <w:szCs w:val="24"/>
              </w:rPr>
            </w:pPr>
            <w:r w:rsidRPr="00940243">
              <w:rPr>
                <w:sz w:val="24"/>
                <w:szCs w:val="24"/>
              </w:rPr>
              <w:t>)</w:t>
            </w:r>
          </w:p>
          <w:p w14:paraId="380C8F25" w14:textId="77777777" w:rsidR="003A2782" w:rsidRPr="00940243" w:rsidRDefault="003A2782" w:rsidP="001769A8">
            <w:pPr>
              <w:pStyle w:val="SingleSpacing"/>
              <w:spacing w:line="240" w:lineRule="auto"/>
              <w:rPr>
                <w:sz w:val="24"/>
                <w:szCs w:val="24"/>
              </w:rPr>
            </w:pPr>
            <w:r w:rsidRPr="00940243">
              <w:rPr>
                <w:sz w:val="24"/>
                <w:szCs w:val="24"/>
              </w:rPr>
              <w:t>)</w:t>
            </w:r>
          </w:p>
        </w:tc>
        <w:tc>
          <w:tcPr>
            <w:tcW w:w="4542" w:type="dxa"/>
            <w:shd w:val="clear" w:color="auto" w:fill="auto"/>
          </w:tcPr>
          <w:p w14:paraId="54DC5E59" w14:textId="77777777" w:rsidR="003A2782" w:rsidRDefault="003A2782" w:rsidP="001769A8">
            <w:pPr>
              <w:pStyle w:val="SingleSpacing"/>
              <w:spacing w:line="240" w:lineRule="auto"/>
              <w:rPr>
                <w:sz w:val="24"/>
                <w:szCs w:val="24"/>
              </w:rPr>
            </w:pPr>
            <w:bookmarkStart w:id="2" w:name="CaseNumber"/>
            <w:bookmarkEnd w:id="2"/>
            <w:r>
              <w:rPr>
                <w:sz w:val="24"/>
                <w:szCs w:val="24"/>
              </w:rPr>
              <w:t>GPA Docket 1</w:t>
            </w:r>
            <w:r w:rsidR="00A00A63">
              <w:rPr>
                <w:sz w:val="24"/>
                <w:szCs w:val="24"/>
              </w:rPr>
              <w:t>5</w:t>
            </w:r>
            <w:r>
              <w:rPr>
                <w:sz w:val="24"/>
                <w:szCs w:val="24"/>
              </w:rPr>
              <w:t>-0</w:t>
            </w:r>
            <w:r w:rsidR="00A00A63">
              <w:rPr>
                <w:sz w:val="24"/>
                <w:szCs w:val="24"/>
              </w:rPr>
              <w:t>5</w:t>
            </w:r>
            <w:r>
              <w:rPr>
                <w:sz w:val="24"/>
                <w:szCs w:val="24"/>
              </w:rPr>
              <w:t xml:space="preserve"> </w:t>
            </w:r>
          </w:p>
          <w:p w14:paraId="251C695B" w14:textId="77777777" w:rsidR="003A2782" w:rsidRDefault="003A2782" w:rsidP="001769A8">
            <w:pPr>
              <w:pStyle w:val="SingleSpacing"/>
              <w:spacing w:line="240" w:lineRule="auto"/>
              <w:rPr>
                <w:sz w:val="24"/>
                <w:szCs w:val="24"/>
              </w:rPr>
            </w:pPr>
          </w:p>
          <w:p w14:paraId="4E02868C" w14:textId="77777777" w:rsidR="003A2782" w:rsidRPr="00940243" w:rsidRDefault="003A2782" w:rsidP="001769A8">
            <w:pPr>
              <w:pStyle w:val="SingleSpacing"/>
              <w:spacing w:line="240" w:lineRule="auto"/>
              <w:rPr>
                <w:sz w:val="24"/>
                <w:szCs w:val="24"/>
              </w:rPr>
            </w:pPr>
          </w:p>
          <w:p w14:paraId="51F0956E" w14:textId="77777777" w:rsidR="003A2782" w:rsidRPr="00FE09D4" w:rsidRDefault="00D06368" w:rsidP="00D06368">
            <w:pPr>
              <w:pStyle w:val="SingleSpacing"/>
              <w:spacing w:line="240" w:lineRule="auto"/>
              <w:rPr>
                <w:b/>
                <w:sz w:val="24"/>
                <w:szCs w:val="24"/>
              </w:rPr>
            </w:pPr>
            <w:r>
              <w:rPr>
                <w:b/>
                <w:sz w:val="24"/>
                <w:szCs w:val="24"/>
              </w:rPr>
              <w:t xml:space="preserve">SUPPLEMENTAL </w:t>
            </w:r>
            <w:r w:rsidR="00146C8A" w:rsidRPr="00D06368">
              <w:rPr>
                <w:b/>
                <w:sz w:val="24"/>
                <w:szCs w:val="24"/>
              </w:rPr>
              <w:t>ORDER</w:t>
            </w:r>
          </w:p>
        </w:tc>
      </w:tr>
    </w:tbl>
    <w:p w14:paraId="6F79BB14" w14:textId="77777777" w:rsidR="003A2782" w:rsidRDefault="003A2782" w:rsidP="003A2782">
      <w:pPr>
        <w:jc w:val="center"/>
        <w:rPr>
          <w:b/>
          <w:sz w:val="24"/>
          <w:szCs w:val="24"/>
          <w:u w:val="single"/>
        </w:rPr>
      </w:pPr>
    </w:p>
    <w:p w14:paraId="2C0AF3CA" w14:textId="77777777" w:rsidR="003A2782" w:rsidRDefault="003A2782" w:rsidP="003A2782">
      <w:pPr>
        <w:jc w:val="center"/>
        <w:rPr>
          <w:b/>
          <w:sz w:val="24"/>
          <w:szCs w:val="24"/>
          <w:u w:val="single"/>
        </w:rPr>
      </w:pPr>
      <w:r>
        <w:rPr>
          <w:b/>
          <w:sz w:val="24"/>
          <w:szCs w:val="24"/>
          <w:u w:val="single"/>
        </w:rPr>
        <w:t>INTRODUCTION</w:t>
      </w:r>
    </w:p>
    <w:p w14:paraId="3B375A3C" w14:textId="77777777" w:rsidR="003A2782" w:rsidRPr="00FE09D4" w:rsidRDefault="003A2782" w:rsidP="003A2782">
      <w:pPr>
        <w:jc w:val="center"/>
        <w:rPr>
          <w:b/>
          <w:sz w:val="24"/>
          <w:szCs w:val="24"/>
          <w:u w:val="single"/>
        </w:rPr>
      </w:pPr>
    </w:p>
    <w:p w14:paraId="558D7F12" w14:textId="77777777" w:rsidR="00ED17A5" w:rsidRDefault="003A2782" w:rsidP="00BE6F80">
      <w:pPr>
        <w:pStyle w:val="ListParagraph"/>
        <w:numPr>
          <w:ilvl w:val="0"/>
          <w:numId w:val="3"/>
        </w:numPr>
        <w:ind w:left="360"/>
        <w:rPr>
          <w:sz w:val="24"/>
          <w:szCs w:val="24"/>
        </w:rPr>
      </w:pPr>
      <w:r w:rsidRPr="00BE6F80">
        <w:rPr>
          <w:sz w:val="24"/>
          <w:szCs w:val="24"/>
        </w:rPr>
        <w:t xml:space="preserve">This matter comes before the Guam Public Utilities Commission </w:t>
      </w:r>
      <w:r w:rsidR="00703021" w:rsidRPr="00BE6F80">
        <w:rPr>
          <w:sz w:val="24"/>
          <w:szCs w:val="24"/>
        </w:rPr>
        <w:t>[“</w:t>
      </w:r>
      <w:r w:rsidR="002B1D13" w:rsidRPr="00BE6F80">
        <w:rPr>
          <w:sz w:val="24"/>
          <w:szCs w:val="24"/>
        </w:rPr>
        <w:t>PUC</w:t>
      </w:r>
      <w:r w:rsidR="00703021" w:rsidRPr="00BE6F80">
        <w:rPr>
          <w:sz w:val="24"/>
          <w:szCs w:val="24"/>
        </w:rPr>
        <w:t>”]</w:t>
      </w:r>
      <w:r w:rsidRPr="00BE6F80">
        <w:rPr>
          <w:sz w:val="24"/>
          <w:szCs w:val="24"/>
        </w:rPr>
        <w:t xml:space="preserve"> upon </w:t>
      </w:r>
      <w:r w:rsidR="00703021" w:rsidRPr="00BE6F80">
        <w:rPr>
          <w:sz w:val="24"/>
          <w:szCs w:val="24"/>
        </w:rPr>
        <w:t xml:space="preserve">the </w:t>
      </w:r>
      <w:r w:rsidR="00D06368">
        <w:rPr>
          <w:sz w:val="24"/>
          <w:szCs w:val="24"/>
        </w:rPr>
        <w:t>request of the Chairman</w:t>
      </w:r>
      <w:r w:rsidR="00703021" w:rsidRPr="00BE6F80">
        <w:rPr>
          <w:sz w:val="24"/>
          <w:szCs w:val="24"/>
        </w:rPr>
        <w:t>.</w:t>
      </w:r>
      <w:r w:rsidR="00D06368">
        <w:rPr>
          <w:sz w:val="24"/>
          <w:szCs w:val="24"/>
        </w:rPr>
        <w:t xml:space="preserve">  As indicated in the PUC Counsel Report dated April 18, 2017, which is adopted and incorporated herein by reference,  GPA has indicated to potential bidders with regard to the new generation that only combined cycle unit generation may be considered </w:t>
      </w:r>
      <w:r w:rsidR="008D2039">
        <w:rPr>
          <w:sz w:val="24"/>
          <w:szCs w:val="24"/>
        </w:rPr>
        <w:t>due to</w:t>
      </w:r>
      <w:r w:rsidR="00D06368">
        <w:rPr>
          <w:sz w:val="24"/>
          <w:szCs w:val="24"/>
        </w:rPr>
        <w:t xml:space="preserve"> the wording of the PUC Order dated October 27, 2016.  Potential bidders have also been advised by GPA that it may not consider any proposal involving LNG</w:t>
      </w:r>
      <w:r w:rsidR="008D2039">
        <w:rPr>
          <w:sz w:val="24"/>
          <w:szCs w:val="24"/>
        </w:rPr>
        <w:t xml:space="preserve"> because of the PUC Order</w:t>
      </w:r>
      <w:r w:rsidR="00D06368">
        <w:rPr>
          <w:sz w:val="24"/>
          <w:szCs w:val="24"/>
        </w:rPr>
        <w:t xml:space="preserve">.  </w:t>
      </w:r>
    </w:p>
    <w:p w14:paraId="3050B61F" w14:textId="77777777" w:rsidR="00C964B8" w:rsidRDefault="00C964B8" w:rsidP="00C964B8">
      <w:pPr>
        <w:pStyle w:val="ListParagraph"/>
        <w:ind w:left="360" w:firstLine="0"/>
        <w:rPr>
          <w:sz w:val="24"/>
          <w:szCs w:val="24"/>
        </w:rPr>
      </w:pPr>
    </w:p>
    <w:p w14:paraId="2367A246" w14:textId="77777777" w:rsidR="00C964B8" w:rsidRPr="00C964B8" w:rsidRDefault="00C964B8" w:rsidP="00C964B8">
      <w:pPr>
        <w:pStyle w:val="ListParagraph"/>
        <w:ind w:left="360" w:firstLine="0"/>
        <w:jc w:val="center"/>
        <w:rPr>
          <w:b/>
          <w:sz w:val="24"/>
          <w:szCs w:val="24"/>
          <w:u w:val="single"/>
        </w:rPr>
      </w:pPr>
      <w:r>
        <w:rPr>
          <w:b/>
          <w:sz w:val="24"/>
          <w:szCs w:val="24"/>
          <w:u w:val="single"/>
        </w:rPr>
        <w:t>DETERMINATIONS</w:t>
      </w:r>
    </w:p>
    <w:p w14:paraId="59C91731" w14:textId="77777777" w:rsidR="00C964B8" w:rsidRDefault="00C964B8" w:rsidP="00C964B8">
      <w:pPr>
        <w:pStyle w:val="ListParagraph"/>
        <w:ind w:left="360" w:firstLine="0"/>
        <w:rPr>
          <w:sz w:val="24"/>
          <w:szCs w:val="24"/>
        </w:rPr>
      </w:pPr>
    </w:p>
    <w:p w14:paraId="128BA2BF" w14:textId="77777777" w:rsidR="00C964B8" w:rsidRDefault="00C964B8" w:rsidP="00BE6F80">
      <w:pPr>
        <w:pStyle w:val="ListParagraph"/>
        <w:numPr>
          <w:ilvl w:val="0"/>
          <w:numId w:val="3"/>
        </w:numPr>
        <w:ind w:left="360"/>
        <w:rPr>
          <w:sz w:val="24"/>
          <w:szCs w:val="24"/>
        </w:rPr>
      </w:pPr>
      <w:r>
        <w:rPr>
          <w:sz w:val="24"/>
          <w:szCs w:val="24"/>
        </w:rPr>
        <w:t>The purpose of this Supplemental Order is to clarify two aspects of the Order dated October 27, 2016</w:t>
      </w:r>
      <w:r w:rsidR="008D2039">
        <w:rPr>
          <w:sz w:val="24"/>
          <w:szCs w:val="24"/>
        </w:rPr>
        <w:t>.  Notwithstanding any language to the contrary in the October 27, 2016, Order</w:t>
      </w:r>
      <w:proofErr w:type="gramStart"/>
      <w:r w:rsidR="008D2039">
        <w:rPr>
          <w:sz w:val="24"/>
          <w:szCs w:val="24"/>
        </w:rPr>
        <w:t>:  (</w:t>
      </w:r>
      <w:proofErr w:type="gramEnd"/>
      <w:r w:rsidR="008D2039">
        <w:rPr>
          <w:sz w:val="24"/>
          <w:szCs w:val="24"/>
        </w:rPr>
        <w:t xml:space="preserve">1) </w:t>
      </w:r>
      <w:r>
        <w:rPr>
          <w:sz w:val="24"/>
          <w:szCs w:val="24"/>
        </w:rPr>
        <w:t xml:space="preserve">In its procurement for new generation, GPA </w:t>
      </w:r>
      <w:r w:rsidR="008D2039">
        <w:rPr>
          <w:sz w:val="24"/>
          <w:szCs w:val="24"/>
        </w:rPr>
        <w:t>should be able to</w:t>
      </w:r>
      <w:r>
        <w:rPr>
          <w:sz w:val="24"/>
          <w:szCs w:val="24"/>
        </w:rPr>
        <w:t xml:space="preserve"> consider any technology (not only combined cycle units) which provide</w:t>
      </w:r>
      <w:r w:rsidR="008D2039">
        <w:rPr>
          <w:sz w:val="24"/>
          <w:szCs w:val="24"/>
        </w:rPr>
        <w:t>s</w:t>
      </w:r>
      <w:r>
        <w:rPr>
          <w:sz w:val="24"/>
          <w:szCs w:val="24"/>
        </w:rPr>
        <w:t xml:space="preserve"> efficient, reliable and least cost baseload generation.  (2)  LNG proposals may be considered to the extent that they comply with the criteria outlined in (1) above. </w:t>
      </w:r>
    </w:p>
    <w:p w14:paraId="11EF3B1A" w14:textId="77777777" w:rsidR="00C964B8" w:rsidRDefault="00C964B8" w:rsidP="00C964B8">
      <w:pPr>
        <w:pStyle w:val="ListParagraph"/>
        <w:ind w:left="360" w:firstLine="0"/>
        <w:rPr>
          <w:sz w:val="24"/>
          <w:szCs w:val="24"/>
        </w:rPr>
      </w:pPr>
    </w:p>
    <w:p w14:paraId="21BB1363" w14:textId="77777777" w:rsidR="00C964B8" w:rsidRDefault="00C964B8" w:rsidP="00BE6F80">
      <w:pPr>
        <w:pStyle w:val="ListParagraph"/>
        <w:numPr>
          <w:ilvl w:val="0"/>
          <w:numId w:val="3"/>
        </w:numPr>
        <w:ind w:left="360"/>
        <w:rPr>
          <w:sz w:val="24"/>
          <w:szCs w:val="24"/>
        </w:rPr>
      </w:pPr>
      <w:r>
        <w:rPr>
          <w:sz w:val="24"/>
          <w:szCs w:val="24"/>
        </w:rPr>
        <w:t xml:space="preserve">The PUC adopts the analysis in the PUC Counsel Report as its </w:t>
      </w:r>
      <w:r w:rsidR="008D2039">
        <w:rPr>
          <w:sz w:val="24"/>
          <w:szCs w:val="24"/>
        </w:rPr>
        <w:t>D</w:t>
      </w:r>
      <w:r>
        <w:rPr>
          <w:sz w:val="24"/>
          <w:szCs w:val="24"/>
        </w:rPr>
        <w:t xml:space="preserve">eterminations.  It is necessary for the PUC to </w:t>
      </w:r>
      <w:r w:rsidR="008D2039">
        <w:rPr>
          <w:sz w:val="24"/>
          <w:szCs w:val="24"/>
        </w:rPr>
        <w:t>clarify i</w:t>
      </w:r>
      <w:r>
        <w:rPr>
          <w:sz w:val="24"/>
          <w:szCs w:val="24"/>
        </w:rPr>
        <w:t>ts October 27, 2016 Order</w:t>
      </w:r>
      <w:r w:rsidR="008D2039">
        <w:rPr>
          <w:sz w:val="24"/>
          <w:szCs w:val="24"/>
        </w:rPr>
        <w:t xml:space="preserve"> by establishing</w:t>
      </w:r>
      <w:r>
        <w:rPr>
          <w:sz w:val="24"/>
          <w:szCs w:val="24"/>
        </w:rPr>
        <w:t xml:space="preserve"> that GPA may consider technologies other than combined cycle units in its new generation procurement, and may also consider proposals for LNG. </w:t>
      </w:r>
    </w:p>
    <w:p w14:paraId="20E3869F" w14:textId="77777777" w:rsidR="000B3049" w:rsidRDefault="000B3049" w:rsidP="003A2782">
      <w:pPr>
        <w:ind w:left="432" w:hanging="432"/>
        <w:rPr>
          <w:sz w:val="24"/>
          <w:szCs w:val="24"/>
        </w:rPr>
      </w:pPr>
    </w:p>
    <w:p w14:paraId="53B04A71" w14:textId="77777777" w:rsidR="003A2782" w:rsidRDefault="00C964B8" w:rsidP="003A2782">
      <w:pPr>
        <w:ind w:left="432" w:hanging="432"/>
        <w:jc w:val="center"/>
        <w:rPr>
          <w:b/>
          <w:sz w:val="24"/>
          <w:szCs w:val="24"/>
          <w:u w:val="single"/>
        </w:rPr>
      </w:pPr>
      <w:r>
        <w:rPr>
          <w:b/>
          <w:sz w:val="24"/>
          <w:szCs w:val="24"/>
          <w:u w:val="single"/>
        </w:rPr>
        <w:t>ORDERING PROVISIONS</w:t>
      </w:r>
    </w:p>
    <w:p w14:paraId="2D24B23C" w14:textId="77777777" w:rsidR="00856FBE" w:rsidRPr="00CB0D7C" w:rsidRDefault="00856FBE" w:rsidP="00856FBE">
      <w:pPr>
        <w:pStyle w:val="ListParagraph"/>
        <w:ind w:left="360"/>
        <w:rPr>
          <w:sz w:val="24"/>
          <w:szCs w:val="24"/>
        </w:rPr>
      </w:pPr>
    </w:p>
    <w:p w14:paraId="73D671D3" w14:textId="77777777" w:rsidR="009B1A4D" w:rsidRDefault="00C63EA9" w:rsidP="00C63EA9">
      <w:pPr>
        <w:pStyle w:val="ListParagraph"/>
        <w:numPr>
          <w:ilvl w:val="0"/>
          <w:numId w:val="17"/>
        </w:numPr>
        <w:ind w:left="360"/>
        <w:rPr>
          <w:sz w:val="24"/>
          <w:szCs w:val="24"/>
        </w:rPr>
      </w:pPr>
      <w:r>
        <w:rPr>
          <w:sz w:val="24"/>
          <w:szCs w:val="24"/>
        </w:rPr>
        <w:t xml:space="preserve">Notwithstanding any language in the PUC Order dated October 27, 2016, that GPA </w:t>
      </w:r>
      <w:r w:rsidR="008D2039">
        <w:rPr>
          <w:sz w:val="24"/>
          <w:szCs w:val="24"/>
        </w:rPr>
        <w:t>shall</w:t>
      </w:r>
      <w:r>
        <w:rPr>
          <w:sz w:val="24"/>
          <w:szCs w:val="24"/>
        </w:rPr>
        <w:t xml:space="preserve"> consider technologies other than combined cycle units </w:t>
      </w:r>
      <w:r w:rsidR="008D2039">
        <w:rPr>
          <w:sz w:val="24"/>
          <w:szCs w:val="24"/>
        </w:rPr>
        <w:t>in the procurement for new generation which it subsequently intends to issue</w:t>
      </w:r>
      <w:r>
        <w:rPr>
          <w:sz w:val="24"/>
          <w:szCs w:val="24"/>
        </w:rPr>
        <w:t xml:space="preserve">.  In accordance with a market approach, bidders should be able to offer technology solutions other than combined cycle units, which may include LNG, LPG, or other possible solutions which meet the necessary criteria.  </w:t>
      </w:r>
    </w:p>
    <w:p w14:paraId="04D9972E" w14:textId="77777777" w:rsidR="0015151A" w:rsidRDefault="0015151A" w:rsidP="0015151A">
      <w:pPr>
        <w:pStyle w:val="ListParagraph"/>
        <w:ind w:left="360" w:firstLine="0"/>
        <w:rPr>
          <w:sz w:val="24"/>
          <w:szCs w:val="24"/>
        </w:rPr>
      </w:pPr>
    </w:p>
    <w:p w14:paraId="2A896600" w14:textId="77777777" w:rsidR="0015151A" w:rsidRDefault="0015151A" w:rsidP="00C63EA9">
      <w:pPr>
        <w:pStyle w:val="ListParagraph"/>
        <w:numPr>
          <w:ilvl w:val="0"/>
          <w:numId w:val="17"/>
        </w:numPr>
        <w:ind w:left="360"/>
        <w:rPr>
          <w:sz w:val="24"/>
          <w:szCs w:val="24"/>
        </w:rPr>
      </w:pPr>
      <w:r>
        <w:rPr>
          <w:sz w:val="24"/>
          <w:szCs w:val="24"/>
        </w:rPr>
        <w:lastRenderedPageBreak/>
        <w:t xml:space="preserve">Notwithstanding any language in the October 27, 2016 Order, GPA </w:t>
      </w:r>
      <w:r w:rsidR="008D2039">
        <w:rPr>
          <w:sz w:val="24"/>
          <w:szCs w:val="24"/>
        </w:rPr>
        <w:t>shall entertain and</w:t>
      </w:r>
      <w:r>
        <w:rPr>
          <w:sz w:val="24"/>
          <w:szCs w:val="24"/>
        </w:rPr>
        <w:t xml:space="preserve"> consider LNG proposals </w:t>
      </w:r>
      <w:r w:rsidR="008D2039">
        <w:rPr>
          <w:sz w:val="24"/>
          <w:szCs w:val="24"/>
        </w:rPr>
        <w:t>that</w:t>
      </w:r>
      <w:r>
        <w:rPr>
          <w:sz w:val="24"/>
          <w:szCs w:val="24"/>
        </w:rPr>
        <w:t xml:space="preserve"> can provide efficient, reliable and least cost baseload capacity.</w:t>
      </w:r>
    </w:p>
    <w:p w14:paraId="741AE0DE" w14:textId="77777777" w:rsidR="0015151A" w:rsidRDefault="0015151A" w:rsidP="0015151A">
      <w:pPr>
        <w:pStyle w:val="ListParagraph"/>
        <w:ind w:left="360" w:firstLine="0"/>
        <w:rPr>
          <w:sz w:val="24"/>
          <w:szCs w:val="24"/>
        </w:rPr>
      </w:pPr>
    </w:p>
    <w:p w14:paraId="4631A0CE" w14:textId="77777777" w:rsidR="0015151A" w:rsidRDefault="0015151A" w:rsidP="00C63EA9">
      <w:pPr>
        <w:pStyle w:val="ListParagraph"/>
        <w:numPr>
          <w:ilvl w:val="0"/>
          <w:numId w:val="17"/>
        </w:numPr>
        <w:ind w:left="360"/>
        <w:rPr>
          <w:sz w:val="24"/>
          <w:szCs w:val="24"/>
        </w:rPr>
      </w:pPr>
      <w:r>
        <w:rPr>
          <w:sz w:val="24"/>
          <w:szCs w:val="24"/>
        </w:rPr>
        <w:t>The Ordering Provisions of the October 27, 2016, Order are revised as follows:</w:t>
      </w:r>
    </w:p>
    <w:p w14:paraId="78F2D7EC" w14:textId="77777777" w:rsidR="002626F3" w:rsidRPr="002626F3" w:rsidRDefault="002626F3" w:rsidP="002626F3">
      <w:pPr>
        <w:pStyle w:val="ListParagraph"/>
        <w:ind w:left="360"/>
        <w:rPr>
          <w:sz w:val="24"/>
          <w:szCs w:val="24"/>
        </w:rPr>
      </w:pPr>
    </w:p>
    <w:p w14:paraId="175277D1" w14:textId="77777777" w:rsidR="002626F3" w:rsidRDefault="002626F3" w:rsidP="0066109D">
      <w:pPr>
        <w:pStyle w:val="ListParagraph"/>
        <w:numPr>
          <w:ilvl w:val="0"/>
          <w:numId w:val="13"/>
        </w:numPr>
        <w:rPr>
          <w:sz w:val="24"/>
          <w:szCs w:val="24"/>
        </w:rPr>
      </w:pPr>
      <w:r w:rsidRPr="002626F3">
        <w:rPr>
          <w:sz w:val="24"/>
          <w:szCs w:val="24"/>
        </w:rPr>
        <w:t xml:space="preserve">GPA </w:t>
      </w:r>
      <w:r>
        <w:rPr>
          <w:sz w:val="24"/>
          <w:szCs w:val="24"/>
        </w:rPr>
        <w:t>is</w:t>
      </w:r>
      <w:r w:rsidR="00C00088">
        <w:rPr>
          <w:sz w:val="24"/>
          <w:szCs w:val="24"/>
        </w:rPr>
        <w:t xml:space="preserve"> authorized to procure </w:t>
      </w:r>
      <w:r w:rsidR="0066109D">
        <w:rPr>
          <w:sz w:val="24"/>
          <w:szCs w:val="24"/>
        </w:rPr>
        <w:t>up to 180MW</w:t>
      </w:r>
      <w:r w:rsidR="00C00088">
        <w:rPr>
          <w:sz w:val="24"/>
          <w:szCs w:val="24"/>
        </w:rPr>
        <w:t xml:space="preserve"> of generation capacity</w:t>
      </w:r>
      <w:r w:rsidR="0066109D">
        <w:rPr>
          <w:sz w:val="24"/>
          <w:szCs w:val="24"/>
        </w:rPr>
        <w:t xml:space="preserve">.  Before </w:t>
      </w:r>
      <w:r w:rsidRPr="002626F3">
        <w:rPr>
          <w:sz w:val="24"/>
          <w:szCs w:val="24"/>
        </w:rPr>
        <w:t>such procurement is issued by GPA, it should</w:t>
      </w:r>
      <w:r w:rsidR="0066109D">
        <w:rPr>
          <w:sz w:val="24"/>
          <w:szCs w:val="24"/>
        </w:rPr>
        <w:t xml:space="preserve"> be first reviewed and approved </w:t>
      </w:r>
      <w:r w:rsidRPr="002626F3">
        <w:rPr>
          <w:sz w:val="24"/>
          <w:szCs w:val="24"/>
        </w:rPr>
        <w:t>by the PUC.</w:t>
      </w:r>
    </w:p>
    <w:p w14:paraId="51CB42CC" w14:textId="77777777" w:rsidR="0066109D" w:rsidRDefault="0066109D" w:rsidP="0066109D">
      <w:pPr>
        <w:pStyle w:val="ListParagraph"/>
        <w:ind w:firstLine="0"/>
        <w:rPr>
          <w:sz w:val="24"/>
          <w:szCs w:val="24"/>
        </w:rPr>
      </w:pPr>
    </w:p>
    <w:p w14:paraId="7DCE7CF3" w14:textId="77777777" w:rsidR="002626F3" w:rsidRDefault="002626F3" w:rsidP="00DC624A">
      <w:pPr>
        <w:pStyle w:val="ListParagraph"/>
        <w:numPr>
          <w:ilvl w:val="0"/>
          <w:numId w:val="13"/>
        </w:numPr>
        <w:rPr>
          <w:sz w:val="24"/>
          <w:szCs w:val="24"/>
        </w:rPr>
      </w:pPr>
      <w:r w:rsidRPr="0066109D">
        <w:rPr>
          <w:sz w:val="24"/>
          <w:szCs w:val="24"/>
        </w:rPr>
        <w:t xml:space="preserve">GPA’s plan for up to 180MW of </w:t>
      </w:r>
      <w:r w:rsidR="00C00088">
        <w:rPr>
          <w:sz w:val="24"/>
          <w:szCs w:val="24"/>
        </w:rPr>
        <w:t xml:space="preserve">new </w:t>
      </w:r>
      <w:r w:rsidRPr="0066109D">
        <w:rPr>
          <w:sz w:val="24"/>
          <w:szCs w:val="24"/>
        </w:rPr>
        <w:t xml:space="preserve">generation capacity shall be based upon the Independent Power Producer </w:t>
      </w:r>
      <w:r w:rsidR="00DC624A" w:rsidRPr="00DC624A">
        <w:rPr>
          <w:sz w:val="24"/>
          <w:szCs w:val="24"/>
        </w:rPr>
        <w:t xml:space="preserve">(IPP) </w:t>
      </w:r>
      <w:r w:rsidRPr="0066109D">
        <w:rPr>
          <w:sz w:val="24"/>
          <w:szCs w:val="24"/>
        </w:rPr>
        <w:t xml:space="preserve">Model </w:t>
      </w:r>
      <w:r w:rsidR="00DC624A">
        <w:rPr>
          <w:sz w:val="24"/>
          <w:szCs w:val="24"/>
        </w:rPr>
        <w:t xml:space="preserve">as a Build Operate Transfer (BOT), similar to MEC 8 &amp; 9, </w:t>
      </w:r>
      <w:r w:rsidRPr="0066109D">
        <w:rPr>
          <w:sz w:val="24"/>
          <w:szCs w:val="24"/>
        </w:rPr>
        <w:t>rather than upon ownership by GPA.</w:t>
      </w:r>
      <w:r w:rsidR="00DC624A">
        <w:rPr>
          <w:sz w:val="24"/>
          <w:szCs w:val="24"/>
        </w:rPr>
        <w:t xml:space="preserve">  </w:t>
      </w:r>
    </w:p>
    <w:p w14:paraId="759C653E" w14:textId="77777777" w:rsidR="00DC624A" w:rsidRDefault="00DC624A" w:rsidP="00DC624A">
      <w:pPr>
        <w:pStyle w:val="ListParagraph"/>
        <w:ind w:firstLine="0"/>
        <w:rPr>
          <w:sz w:val="24"/>
          <w:szCs w:val="24"/>
        </w:rPr>
      </w:pPr>
    </w:p>
    <w:p w14:paraId="0BE4FC2E" w14:textId="77777777" w:rsidR="00DC624A" w:rsidRDefault="00DC624A" w:rsidP="00DC624A">
      <w:pPr>
        <w:pStyle w:val="ListParagraph"/>
        <w:numPr>
          <w:ilvl w:val="0"/>
          <w:numId w:val="13"/>
        </w:numPr>
        <w:rPr>
          <w:sz w:val="24"/>
          <w:szCs w:val="24"/>
        </w:rPr>
      </w:pPr>
      <w:r>
        <w:rPr>
          <w:sz w:val="24"/>
          <w:szCs w:val="24"/>
        </w:rPr>
        <w:t xml:space="preserve">GPA is authorized to procure an Engineering Procurement and Construction </w:t>
      </w:r>
    </w:p>
    <w:p w14:paraId="6AAB1F8A" w14:textId="77777777" w:rsidR="00DC624A" w:rsidRDefault="0001472F" w:rsidP="00DC624A">
      <w:pPr>
        <w:pStyle w:val="ListParagraph"/>
        <w:ind w:firstLine="0"/>
        <w:rPr>
          <w:sz w:val="24"/>
          <w:szCs w:val="24"/>
        </w:rPr>
      </w:pPr>
      <w:r>
        <w:rPr>
          <w:sz w:val="24"/>
          <w:szCs w:val="24"/>
        </w:rPr>
        <w:t>Management contractor</w:t>
      </w:r>
      <w:r w:rsidR="00DC624A">
        <w:rPr>
          <w:sz w:val="24"/>
          <w:szCs w:val="24"/>
        </w:rPr>
        <w:t>, and is authorized to expend $750,000 for such engineering and consulting services, to be paid from the 2014 bond fund allocation for LNG Initial Startup.</w:t>
      </w:r>
    </w:p>
    <w:p w14:paraId="41E5DF21" w14:textId="77777777" w:rsidR="00DC021C" w:rsidRDefault="00DC021C" w:rsidP="00DC021C">
      <w:pPr>
        <w:pStyle w:val="ListParagraph"/>
        <w:ind w:firstLine="0"/>
        <w:rPr>
          <w:sz w:val="24"/>
          <w:szCs w:val="24"/>
        </w:rPr>
      </w:pPr>
    </w:p>
    <w:p w14:paraId="2AADC158" w14:textId="77777777" w:rsidR="002626F3" w:rsidRDefault="002626F3" w:rsidP="0066109D">
      <w:pPr>
        <w:pStyle w:val="ListParagraph"/>
        <w:numPr>
          <w:ilvl w:val="0"/>
          <w:numId w:val="13"/>
        </w:numPr>
        <w:rPr>
          <w:sz w:val="24"/>
          <w:szCs w:val="24"/>
        </w:rPr>
      </w:pPr>
      <w:r w:rsidRPr="0066109D">
        <w:rPr>
          <w:sz w:val="24"/>
          <w:szCs w:val="24"/>
        </w:rPr>
        <w:t>GPA plans for bond financing, restructuring, or financing/leasing for the IPP are disapproved at the present time.</w:t>
      </w:r>
    </w:p>
    <w:p w14:paraId="66DF03F7" w14:textId="77777777" w:rsidR="00DC021C" w:rsidRDefault="00DC021C" w:rsidP="00DC021C">
      <w:pPr>
        <w:pStyle w:val="ListParagraph"/>
        <w:ind w:firstLine="0"/>
        <w:rPr>
          <w:sz w:val="24"/>
          <w:szCs w:val="24"/>
        </w:rPr>
      </w:pPr>
    </w:p>
    <w:p w14:paraId="14A80103" w14:textId="77777777" w:rsidR="002626F3" w:rsidRDefault="002626F3" w:rsidP="00DC021C">
      <w:pPr>
        <w:pStyle w:val="ListParagraph"/>
        <w:numPr>
          <w:ilvl w:val="0"/>
          <w:numId w:val="13"/>
        </w:numPr>
        <w:rPr>
          <w:sz w:val="24"/>
          <w:szCs w:val="24"/>
        </w:rPr>
      </w:pPr>
      <w:r w:rsidRPr="00DC021C">
        <w:rPr>
          <w:sz w:val="24"/>
          <w:szCs w:val="24"/>
        </w:rPr>
        <w:t>GPA’s procurement authorization is conditioned upon the restrictions and limitations set forth in the DETERMINATIONS section of this Order.</w:t>
      </w:r>
    </w:p>
    <w:p w14:paraId="0C3B813F" w14:textId="77777777" w:rsidR="00DC021C" w:rsidRDefault="00DC021C" w:rsidP="00DC021C">
      <w:pPr>
        <w:pStyle w:val="ListParagraph"/>
        <w:ind w:firstLine="0"/>
        <w:rPr>
          <w:sz w:val="24"/>
          <w:szCs w:val="24"/>
        </w:rPr>
      </w:pPr>
    </w:p>
    <w:p w14:paraId="61DA075B" w14:textId="77777777" w:rsidR="002626F3" w:rsidRDefault="002626F3" w:rsidP="00DC021C">
      <w:pPr>
        <w:pStyle w:val="ListParagraph"/>
        <w:numPr>
          <w:ilvl w:val="0"/>
          <w:numId w:val="13"/>
        </w:numPr>
        <w:rPr>
          <w:sz w:val="24"/>
          <w:szCs w:val="24"/>
        </w:rPr>
      </w:pPr>
      <w:r w:rsidRPr="00DC021C">
        <w:rPr>
          <w:sz w:val="24"/>
          <w:szCs w:val="24"/>
        </w:rPr>
        <w:t>The PUC reserves the right to further cons</w:t>
      </w:r>
      <w:r w:rsidR="00DC021C">
        <w:rPr>
          <w:sz w:val="24"/>
          <w:szCs w:val="24"/>
        </w:rPr>
        <w:t xml:space="preserve">ider the issue of whether 180MW </w:t>
      </w:r>
      <w:r w:rsidRPr="00DC021C">
        <w:rPr>
          <w:sz w:val="24"/>
          <w:szCs w:val="24"/>
        </w:rPr>
        <w:t>should be the proposed capacity of the new plan</w:t>
      </w:r>
      <w:r w:rsidR="00DC021C">
        <w:rPr>
          <w:sz w:val="24"/>
          <w:szCs w:val="24"/>
        </w:rPr>
        <w:t xml:space="preserve">t, or whether a lesser capacity </w:t>
      </w:r>
      <w:r w:rsidRPr="00DC021C">
        <w:rPr>
          <w:sz w:val="24"/>
          <w:szCs w:val="24"/>
        </w:rPr>
        <w:t>would suffice</w:t>
      </w:r>
      <w:r w:rsidR="00F96742" w:rsidRPr="00DC021C">
        <w:rPr>
          <w:sz w:val="24"/>
          <w:szCs w:val="24"/>
        </w:rPr>
        <w:t>, upon</w:t>
      </w:r>
      <w:r w:rsidRPr="00DC021C">
        <w:rPr>
          <w:sz w:val="24"/>
          <w:szCs w:val="24"/>
        </w:rPr>
        <w:t xml:space="preserve"> GPA’s submission of the procurement for approval.  This issue may be further reviewed upon submission of the final proposed procurement award to the PUC.</w:t>
      </w:r>
    </w:p>
    <w:p w14:paraId="0459141D" w14:textId="77777777" w:rsidR="00DC624A" w:rsidRDefault="00DC624A" w:rsidP="00DC624A">
      <w:pPr>
        <w:pStyle w:val="ListParagraph"/>
        <w:ind w:firstLine="0"/>
        <w:rPr>
          <w:sz w:val="24"/>
          <w:szCs w:val="24"/>
        </w:rPr>
      </w:pPr>
    </w:p>
    <w:p w14:paraId="68655F25" w14:textId="77777777" w:rsidR="00DC624A" w:rsidRDefault="00036022" w:rsidP="00DC021C">
      <w:pPr>
        <w:pStyle w:val="ListParagraph"/>
        <w:numPr>
          <w:ilvl w:val="0"/>
          <w:numId w:val="13"/>
        </w:numPr>
        <w:rPr>
          <w:sz w:val="24"/>
          <w:szCs w:val="24"/>
        </w:rPr>
      </w:pPr>
      <w:r>
        <w:rPr>
          <w:sz w:val="24"/>
          <w:szCs w:val="24"/>
        </w:rPr>
        <w:t>GPA shall retire Cabras 1 &amp; 2 upon commission of the new generation</w:t>
      </w:r>
      <w:r w:rsidR="008A6718">
        <w:rPr>
          <w:sz w:val="24"/>
          <w:szCs w:val="24"/>
        </w:rPr>
        <w:t>.</w:t>
      </w:r>
    </w:p>
    <w:p w14:paraId="13FFFAA4" w14:textId="77777777" w:rsidR="005B54F0" w:rsidRDefault="005B54F0" w:rsidP="005B54F0">
      <w:pPr>
        <w:pStyle w:val="ListParagraph"/>
        <w:ind w:firstLine="0"/>
        <w:rPr>
          <w:sz w:val="24"/>
          <w:szCs w:val="24"/>
        </w:rPr>
      </w:pPr>
    </w:p>
    <w:p w14:paraId="5E3F2424" w14:textId="77777777" w:rsidR="00F96742" w:rsidRPr="005B54F0" w:rsidRDefault="00F96742" w:rsidP="00293507">
      <w:pPr>
        <w:pStyle w:val="ListParagraph"/>
        <w:numPr>
          <w:ilvl w:val="0"/>
          <w:numId w:val="13"/>
        </w:numPr>
        <w:rPr>
          <w:sz w:val="24"/>
          <w:szCs w:val="24"/>
        </w:rPr>
      </w:pPr>
      <w:r w:rsidRPr="005B54F0">
        <w:rPr>
          <w:sz w:val="24"/>
          <w:szCs w:val="24"/>
        </w:rPr>
        <w:t>T</w:t>
      </w:r>
      <w:r w:rsidR="002626F3" w:rsidRPr="005B54F0">
        <w:rPr>
          <w:sz w:val="24"/>
          <w:szCs w:val="24"/>
        </w:rPr>
        <w:t xml:space="preserve">he PUC retains jurisdiction herein to make any further review of any and all </w:t>
      </w:r>
    </w:p>
    <w:p w14:paraId="375A6C9E" w14:textId="77777777" w:rsidR="005B54F0" w:rsidRDefault="00F96742" w:rsidP="002626F3">
      <w:pPr>
        <w:pStyle w:val="ListParagraph"/>
        <w:ind w:left="360"/>
        <w:rPr>
          <w:sz w:val="24"/>
          <w:szCs w:val="24"/>
        </w:rPr>
      </w:pPr>
      <w:r>
        <w:rPr>
          <w:sz w:val="24"/>
          <w:szCs w:val="24"/>
        </w:rPr>
        <w:t xml:space="preserve">            </w:t>
      </w:r>
      <w:r w:rsidR="002626F3" w:rsidRPr="002626F3">
        <w:rPr>
          <w:sz w:val="24"/>
          <w:szCs w:val="24"/>
        </w:rPr>
        <w:t>aspects of the IRP.</w:t>
      </w:r>
    </w:p>
    <w:p w14:paraId="2305C6B0" w14:textId="77777777" w:rsidR="000E60BA" w:rsidRDefault="000E60BA" w:rsidP="002626F3">
      <w:pPr>
        <w:pStyle w:val="ListParagraph"/>
        <w:ind w:left="360"/>
        <w:rPr>
          <w:sz w:val="24"/>
          <w:szCs w:val="24"/>
        </w:rPr>
      </w:pPr>
    </w:p>
    <w:p w14:paraId="2FA406E2" w14:textId="77777777" w:rsidR="000E60BA" w:rsidRDefault="000E60BA" w:rsidP="00293507">
      <w:pPr>
        <w:pStyle w:val="ListParagraph"/>
        <w:numPr>
          <w:ilvl w:val="0"/>
          <w:numId w:val="13"/>
        </w:numPr>
        <w:rPr>
          <w:sz w:val="24"/>
          <w:szCs w:val="24"/>
        </w:rPr>
      </w:pPr>
      <w:r>
        <w:rPr>
          <w:sz w:val="24"/>
          <w:szCs w:val="24"/>
        </w:rPr>
        <w:t>When GPA submits the new generation procu</w:t>
      </w:r>
      <w:r w:rsidR="00293507">
        <w:rPr>
          <w:sz w:val="24"/>
          <w:szCs w:val="24"/>
        </w:rPr>
        <w:t xml:space="preserve">rement to PUC for approval, it </w:t>
      </w:r>
      <w:r>
        <w:rPr>
          <w:sz w:val="24"/>
          <w:szCs w:val="24"/>
        </w:rPr>
        <w:t xml:space="preserve">shall also provide a fully updated </w:t>
      </w:r>
      <w:r w:rsidR="00A56280">
        <w:rPr>
          <w:sz w:val="24"/>
          <w:szCs w:val="24"/>
        </w:rPr>
        <w:t xml:space="preserve">and comprehensive </w:t>
      </w:r>
      <w:r>
        <w:rPr>
          <w:sz w:val="24"/>
          <w:szCs w:val="24"/>
        </w:rPr>
        <w:t>rate impact study.</w:t>
      </w:r>
    </w:p>
    <w:p w14:paraId="42A8E7BD" w14:textId="77777777" w:rsidR="00293507" w:rsidRDefault="00293507" w:rsidP="00293507">
      <w:pPr>
        <w:pStyle w:val="ListParagraph"/>
        <w:ind w:firstLine="0"/>
        <w:rPr>
          <w:sz w:val="24"/>
          <w:szCs w:val="24"/>
        </w:rPr>
      </w:pPr>
    </w:p>
    <w:p w14:paraId="64CF1D1E" w14:textId="77777777" w:rsidR="002626F3" w:rsidRPr="00293507" w:rsidRDefault="002626F3" w:rsidP="007D02C7">
      <w:pPr>
        <w:pStyle w:val="ListParagraph"/>
        <w:numPr>
          <w:ilvl w:val="0"/>
          <w:numId w:val="13"/>
        </w:numPr>
        <w:rPr>
          <w:sz w:val="24"/>
          <w:szCs w:val="24"/>
        </w:rPr>
      </w:pPr>
      <w:r w:rsidRPr="00293507">
        <w:rPr>
          <w:sz w:val="24"/>
          <w:szCs w:val="24"/>
        </w:rPr>
        <w:t xml:space="preserve">GPA is ordered to pay the Commission’s regulatory fees and expenses, </w:t>
      </w:r>
    </w:p>
    <w:p w14:paraId="789CF178" w14:textId="77777777" w:rsidR="002626F3" w:rsidRDefault="00F96742" w:rsidP="00F96742">
      <w:pPr>
        <w:pStyle w:val="ListParagraph"/>
        <w:ind w:left="360"/>
        <w:rPr>
          <w:sz w:val="24"/>
          <w:szCs w:val="24"/>
        </w:rPr>
      </w:pPr>
      <w:r>
        <w:rPr>
          <w:sz w:val="24"/>
          <w:szCs w:val="24"/>
        </w:rPr>
        <w:lastRenderedPageBreak/>
        <w:tab/>
        <w:t xml:space="preserve">      </w:t>
      </w:r>
      <w:r w:rsidR="002626F3" w:rsidRPr="002626F3">
        <w:rPr>
          <w:sz w:val="24"/>
          <w:szCs w:val="24"/>
        </w:rPr>
        <w:t>including, without limitation, consulting and counsel fees and the fees and</w:t>
      </w:r>
    </w:p>
    <w:p w14:paraId="37E8862D" w14:textId="77777777" w:rsidR="00F96742" w:rsidRDefault="00F96742" w:rsidP="002626F3">
      <w:pPr>
        <w:pStyle w:val="ListParagraph"/>
        <w:ind w:left="360"/>
        <w:rPr>
          <w:sz w:val="24"/>
          <w:szCs w:val="24"/>
        </w:rPr>
      </w:pPr>
      <w:r>
        <w:rPr>
          <w:sz w:val="24"/>
          <w:szCs w:val="24"/>
        </w:rPr>
        <w:t xml:space="preserve">           </w:t>
      </w:r>
      <w:r w:rsidR="002626F3" w:rsidRPr="002626F3">
        <w:rPr>
          <w:sz w:val="24"/>
          <w:szCs w:val="24"/>
        </w:rPr>
        <w:t xml:space="preserve"> expenses of conducting the hearing proceedings.  Assessment of PUC’s  </w:t>
      </w:r>
      <w:r>
        <w:rPr>
          <w:sz w:val="24"/>
          <w:szCs w:val="24"/>
        </w:rPr>
        <w:t xml:space="preserve">   </w:t>
      </w:r>
    </w:p>
    <w:p w14:paraId="6E70304E" w14:textId="77777777" w:rsidR="00F96742" w:rsidRDefault="00F96742" w:rsidP="002626F3">
      <w:pPr>
        <w:pStyle w:val="ListParagraph"/>
        <w:ind w:left="360"/>
        <w:rPr>
          <w:sz w:val="24"/>
          <w:szCs w:val="24"/>
        </w:rPr>
      </w:pPr>
      <w:r>
        <w:rPr>
          <w:sz w:val="24"/>
          <w:szCs w:val="24"/>
        </w:rPr>
        <w:t xml:space="preserve">            </w:t>
      </w:r>
      <w:r w:rsidR="002626F3" w:rsidRPr="002626F3">
        <w:rPr>
          <w:sz w:val="24"/>
          <w:szCs w:val="24"/>
        </w:rPr>
        <w:t xml:space="preserve">regulatory fees and expenses is authorized pursuant to 12 GCA §§12103(b) </w:t>
      </w:r>
      <w:r>
        <w:rPr>
          <w:sz w:val="24"/>
          <w:szCs w:val="24"/>
        </w:rPr>
        <w:t xml:space="preserve">  </w:t>
      </w:r>
    </w:p>
    <w:p w14:paraId="60FA16DF" w14:textId="77777777" w:rsidR="00F96742" w:rsidRDefault="00F96742" w:rsidP="002626F3">
      <w:pPr>
        <w:pStyle w:val="ListParagraph"/>
        <w:ind w:left="360"/>
        <w:rPr>
          <w:sz w:val="24"/>
          <w:szCs w:val="24"/>
        </w:rPr>
      </w:pPr>
      <w:r>
        <w:rPr>
          <w:sz w:val="24"/>
          <w:szCs w:val="24"/>
        </w:rPr>
        <w:t xml:space="preserve">            and </w:t>
      </w:r>
      <w:r w:rsidR="002626F3" w:rsidRPr="002626F3">
        <w:rPr>
          <w:sz w:val="24"/>
          <w:szCs w:val="24"/>
        </w:rPr>
        <w:t xml:space="preserve">12125(b), and Rule 40 of the Rules of Practice and Procedure before the </w:t>
      </w:r>
    </w:p>
    <w:p w14:paraId="754C50A2" w14:textId="77777777" w:rsidR="002626F3" w:rsidRPr="002626F3" w:rsidRDefault="00F96742" w:rsidP="002626F3">
      <w:pPr>
        <w:pStyle w:val="ListParagraph"/>
        <w:ind w:left="360"/>
        <w:rPr>
          <w:sz w:val="24"/>
          <w:szCs w:val="24"/>
        </w:rPr>
      </w:pPr>
      <w:r>
        <w:rPr>
          <w:sz w:val="24"/>
          <w:szCs w:val="24"/>
        </w:rPr>
        <w:t xml:space="preserve">            Public </w:t>
      </w:r>
      <w:r w:rsidR="002626F3" w:rsidRPr="002626F3">
        <w:rPr>
          <w:sz w:val="24"/>
          <w:szCs w:val="24"/>
        </w:rPr>
        <w:t>Utilities Commission.</w:t>
      </w:r>
    </w:p>
    <w:p w14:paraId="0BBE5F13" w14:textId="77777777" w:rsidR="002626F3" w:rsidRPr="002626F3" w:rsidRDefault="002626F3" w:rsidP="002626F3">
      <w:pPr>
        <w:pStyle w:val="ListParagraph"/>
        <w:ind w:left="360"/>
        <w:rPr>
          <w:sz w:val="24"/>
          <w:szCs w:val="24"/>
        </w:rPr>
      </w:pPr>
    </w:p>
    <w:p w14:paraId="21521812" w14:textId="77777777" w:rsidR="002626F3" w:rsidRPr="002626F3" w:rsidRDefault="002626F3" w:rsidP="002626F3">
      <w:pPr>
        <w:pStyle w:val="ListParagraph"/>
        <w:ind w:left="360"/>
        <w:rPr>
          <w:sz w:val="24"/>
          <w:szCs w:val="24"/>
        </w:rPr>
      </w:pPr>
      <w:r w:rsidRPr="002626F3">
        <w:rPr>
          <w:sz w:val="24"/>
          <w:szCs w:val="24"/>
        </w:rPr>
        <w:tab/>
      </w:r>
      <w:r w:rsidRPr="002626F3">
        <w:rPr>
          <w:sz w:val="24"/>
          <w:szCs w:val="24"/>
        </w:rPr>
        <w:tab/>
      </w:r>
    </w:p>
    <w:p w14:paraId="65723EE8" w14:textId="77777777" w:rsidR="00F96742" w:rsidRDefault="00F96742" w:rsidP="002626F3">
      <w:pPr>
        <w:pStyle w:val="ListParagraph"/>
        <w:ind w:left="360"/>
        <w:rPr>
          <w:sz w:val="24"/>
          <w:szCs w:val="24"/>
        </w:rPr>
      </w:pPr>
    </w:p>
    <w:p w14:paraId="6AE43859" w14:textId="77777777" w:rsidR="00F96742" w:rsidRDefault="00F96742" w:rsidP="002626F3">
      <w:pPr>
        <w:pStyle w:val="ListParagraph"/>
        <w:ind w:left="360"/>
        <w:rPr>
          <w:sz w:val="24"/>
          <w:szCs w:val="24"/>
        </w:rPr>
      </w:pPr>
    </w:p>
    <w:p w14:paraId="5052A804" w14:textId="77777777" w:rsidR="00F96742" w:rsidRDefault="00F96742" w:rsidP="002626F3">
      <w:pPr>
        <w:pStyle w:val="ListParagraph"/>
        <w:ind w:left="360"/>
        <w:rPr>
          <w:sz w:val="24"/>
          <w:szCs w:val="24"/>
        </w:rPr>
      </w:pPr>
    </w:p>
    <w:p w14:paraId="0E047AB2" w14:textId="77777777" w:rsidR="00F96742" w:rsidRDefault="00F96742" w:rsidP="002626F3">
      <w:pPr>
        <w:pStyle w:val="ListParagraph"/>
        <w:ind w:left="360"/>
        <w:rPr>
          <w:sz w:val="24"/>
          <w:szCs w:val="24"/>
        </w:rPr>
      </w:pPr>
    </w:p>
    <w:p w14:paraId="5CE3BEF3" w14:textId="77777777" w:rsidR="00F96742" w:rsidRDefault="00F96742" w:rsidP="002626F3">
      <w:pPr>
        <w:pStyle w:val="ListParagraph"/>
        <w:ind w:left="360"/>
        <w:rPr>
          <w:sz w:val="24"/>
          <w:szCs w:val="24"/>
        </w:rPr>
      </w:pPr>
    </w:p>
    <w:p w14:paraId="28216AA3" w14:textId="77777777" w:rsidR="00F96742" w:rsidRDefault="00F96742" w:rsidP="002626F3">
      <w:pPr>
        <w:pStyle w:val="ListParagraph"/>
        <w:ind w:left="360"/>
        <w:rPr>
          <w:sz w:val="24"/>
          <w:szCs w:val="24"/>
        </w:rPr>
      </w:pPr>
    </w:p>
    <w:p w14:paraId="2504BA72" w14:textId="77777777" w:rsidR="00F96742" w:rsidRDefault="00F96742" w:rsidP="002626F3">
      <w:pPr>
        <w:pStyle w:val="ListParagraph"/>
        <w:ind w:left="360"/>
        <w:rPr>
          <w:sz w:val="24"/>
          <w:szCs w:val="24"/>
        </w:rPr>
      </w:pPr>
    </w:p>
    <w:p w14:paraId="417168FA" w14:textId="77777777" w:rsidR="00F96742" w:rsidRDefault="00B578A9" w:rsidP="00B578A9">
      <w:pPr>
        <w:pStyle w:val="ListParagraph"/>
        <w:ind w:left="360"/>
        <w:jc w:val="center"/>
        <w:rPr>
          <w:sz w:val="24"/>
          <w:szCs w:val="24"/>
        </w:rPr>
      </w:pPr>
      <w:r w:rsidRPr="00B578A9">
        <w:rPr>
          <w:sz w:val="24"/>
          <w:szCs w:val="24"/>
        </w:rPr>
        <w:t>[SIGNATURES TO FOLLOW ON NEXT PAGE]</w:t>
      </w:r>
    </w:p>
    <w:p w14:paraId="36D51630" w14:textId="77777777" w:rsidR="00F96742" w:rsidRDefault="00F96742" w:rsidP="002626F3">
      <w:pPr>
        <w:pStyle w:val="ListParagraph"/>
        <w:ind w:left="360"/>
        <w:rPr>
          <w:sz w:val="24"/>
          <w:szCs w:val="24"/>
        </w:rPr>
      </w:pPr>
    </w:p>
    <w:p w14:paraId="27C10156" w14:textId="77777777" w:rsidR="00F96742" w:rsidRDefault="00F96742" w:rsidP="002626F3">
      <w:pPr>
        <w:pStyle w:val="ListParagraph"/>
        <w:ind w:left="360"/>
        <w:rPr>
          <w:sz w:val="24"/>
          <w:szCs w:val="24"/>
        </w:rPr>
      </w:pPr>
    </w:p>
    <w:p w14:paraId="325D082D" w14:textId="77777777" w:rsidR="007D02C7" w:rsidRDefault="007D02C7" w:rsidP="002626F3">
      <w:pPr>
        <w:pStyle w:val="ListParagraph"/>
        <w:ind w:left="360"/>
        <w:rPr>
          <w:sz w:val="24"/>
          <w:szCs w:val="24"/>
        </w:rPr>
      </w:pPr>
    </w:p>
    <w:p w14:paraId="360F6836" w14:textId="77777777" w:rsidR="007D02C7" w:rsidRDefault="007D02C7" w:rsidP="002626F3">
      <w:pPr>
        <w:pStyle w:val="ListParagraph"/>
        <w:ind w:left="360"/>
        <w:rPr>
          <w:sz w:val="24"/>
          <w:szCs w:val="24"/>
        </w:rPr>
      </w:pPr>
    </w:p>
    <w:p w14:paraId="081DAC7F" w14:textId="77777777" w:rsidR="007D02C7" w:rsidRDefault="007D02C7" w:rsidP="002626F3">
      <w:pPr>
        <w:pStyle w:val="ListParagraph"/>
        <w:ind w:left="360"/>
        <w:rPr>
          <w:sz w:val="24"/>
          <w:szCs w:val="24"/>
        </w:rPr>
      </w:pPr>
    </w:p>
    <w:p w14:paraId="756F458C" w14:textId="77777777" w:rsidR="007D02C7" w:rsidRDefault="007D02C7" w:rsidP="002626F3">
      <w:pPr>
        <w:pStyle w:val="ListParagraph"/>
        <w:ind w:left="360"/>
        <w:rPr>
          <w:sz w:val="24"/>
          <w:szCs w:val="24"/>
        </w:rPr>
      </w:pPr>
    </w:p>
    <w:p w14:paraId="48CBFBA7" w14:textId="77777777" w:rsidR="007D02C7" w:rsidRDefault="007D02C7" w:rsidP="002626F3">
      <w:pPr>
        <w:pStyle w:val="ListParagraph"/>
        <w:ind w:left="360"/>
        <w:rPr>
          <w:sz w:val="24"/>
          <w:szCs w:val="24"/>
        </w:rPr>
      </w:pPr>
    </w:p>
    <w:p w14:paraId="54820FCE" w14:textId="77777777" w:rsidR="007D02C7" w:rsidRDefault="007D02C7" w:rsidP="002626F3">
      <w:pPr>
        <w:pStyle w:val="ListParagraph"/>
        <w:ind w:left="360"/>
        <w:rPr>
          <w:sz w:val="24"/>
          <w:szCs w:val="24"/>
        </w:rPr>
      </w:pPr>
    </w:p>
    <w:p w14:paraId="1CA53F62" w14:textId="77777777" w:rsidR="007D02C7" w:rsidRDefault="007D02C7" w:rsidP="002626F3">
      <w:pPr>
        <w:pStyle w:val="ListParagraph"/>
        <w:ind w:left="360"/>
        <w:rPr>
          <w:sz w:val="24"/>
          <w:szCs w:val="24"/>
        </w:rPr>
      </w:pPr>
    </w:p>
    <w:p w14:paraId="0A7D5B83" w14:textId="77777777" w:rsidR="007D02C7" w:rsidRDefault="007D02C7" w:rsidP="002626F3">
      <w:pPr>
        <w:pStyle w:val="ListParagraph"/>
        <w:ind w:left="360"/>
        <w:rPr>
          <w:sz w:val="24"/>
          <w:szCs w:val="24"/>
        </w:rPr>
      </w:pPr>
    </w:p>
    <w:p w14:paraId="062C59F4" w14:textId="77777777" w:rsidR="007D02C7" w:rsidRDefault="007D02C7" w:rsidP="002626F3">
      <w:pPr>
        <w:pStyle w:val="ListParagraph"/>
        <w:ind w:left="360"/>
        <w:rPr>
          <w:sz w:val="24"/>
          <w:szCs w:val="24"/>
        </w:rPr>
      </w:pPr>
    </w:p>
    <w:p w14:paraId="6E83A34E" w14:textId="77777777" w:rsidR="007D02C7" w:rsidRDefault="007D02C7" w:rsidP="002626F3">
      <w:pPr>
        <w:pStyle w:val="ListParagraph"/>
        <w:ind w:left="360"/>
        <w:rPr>
          <w:sz w:val="24"/>
          <w:szCs w:val="24"/>
        </w:rPr>
      </w:pPr>
    </w:p>
    <w:p w14:paraId="4B1CD3FB" w14:textId="77777777" w:rsidR="007D02C7" w:rsidRDefault="007D02C7" w:rsidP="002626F3">
      <w:pPr>
        <w:pStyle w:val="ListParagraph"/>
        <w:ind w:left="360"/>
        <w:rPr>
          <w:sz w:val="24"/>
          <w:szCs w:val="24"/>
        </w:rPr>
      </w:pPr>
    </w:p>
    <w:p w14:paraId="2BFD2CB6" w14:textId="77777777" w:rsidR="007D02C7" w:rsidRDefault="007D02C7" w:rsidP="002626F3">
      <w:pPr>
        <w:pStyle w:val="ListParagraph"/>
        <w:ind w:left="360"/>
        <w:rPr>
          <w:sz w:val="24"/>
          <w:szCs w:val="24"/>
        </w:rPr>
      </w:pPr>
    </w:p>
    <w:p w14:paraId="2AA90481" w14:textId="77777777" w:rsidR="007D02C7" w:rsidRDefault="007D02C7" w:rsidP="002626F3">
      <w:pPr>
        <w:pStyle w:val="ListParagraph"/>
        <w:ind w:left="360"/>
        <w:rPr>
          <w:sz w:val="24"/>
          <w:szCs w:val="24"/>
        </w:rPr>
      </w:pPr>
    </w:p>
    <w:p w14:paraId="311EA028" w14:textId="77777777" w:rsidR="007D02C7" w:rsidRDefault="007D02C7" w:rsidP="002626F3">
      <w:pPr>
        <w:pStyle w:val="ListParagraph"/>
        <w:ind w:left="360"/>
        <w:rPr>
          <w:sz w:val="24"/>
          <w:szCs w:val="24"/>
        </w:rPr>
      </w:pPr>
    </w:p>
    <w:p w14:paraId="7EF2E975" w14:textId="77777777" w:rsidR="007D02C7" w:rsidRDefault="007D02C7" w:rsidP="002626F3">
      <w:pPr>
        <w:pStyle w:val="ListParagraph"/>
        <w:ind w:left="360"/>
        <w:rPr>
          <w:sz w:val="24"/>
          <w:szCs w:val="24"/>
        </w:rPr>
      </w:pPr>
    </w:p>
    <w:p w14:paraId="47F31FEB" w14:textId="77777777" w:rsidR="007D02C7" w:rsidRDefault="007D02C7" w:rsidP="002626F3">
      <w:pPr>
        <w:pStyle w:val="ListParagraph"/>
        <w:ind w:left="360"/>
        <w:rPr>
          <w:sz w:val="24"/>
          <w:szCs w:val="24"/>
        </w:rPr>
      </w:pPr>
    </w:p>
    <w:p w14:paraId="551C624C" w14:textId="77777777" w:rsidR="007D02C7" w:rsidRDefault="007D02C7" w:rsidP="002626F3">
      <w:pPr>
        <w:pStyle w:val="ListParagraph"/>
        <w:ind w:left="360"/>
        <w:rPr>
          <w:sz w:val="24"/>
          <w:szCs w:val="24"/>
        </w:rPr>
      </w:pPr>
    </w:p>
    <w:p w14:paraId="3CF3D4FA" w14:textId="77777777" w:rsidR="007D02C7" w:rsidRDefault="007D02C7" w:rsidP="002626F3">
      <w:pPr>
        <w:pStyle w:val="ListParagraph"/>
        <w:ind w:left="360"/>
        <w:rPr>
          <w:sz w:val="24"/>
          <w:szCs w:val="24"/>
        </w:rPr>
      </w:pPr>
    </w:p>
    <w:p w14:paraId="713E4CB7" w14:textId="77777777" w:rsidR="007D02C7" w:rsidRDefault="007D02C7" w:rsidP="002626F3">
      <w:pPr>
        <w:pStyle w:val="ListParagraph"/>
        <w:ind w:left="360"/>
        <w:rPr>
          <w:sz w:val="24"/>
          <w:szCs w:val="24"/>
        </w:rPr>
      </w:pPr>
    </w:p>
    <w:p w14:paraId="7E11F6C5" w14:textId="77777777" w:rsidR="007D02C7" w:rsidRDefault="007D02C7" w:rsidP="002626F3">
      <w:pPr>
        <w:pStyle w:val="ListParagraph"/>
        <w:ind w:left="360"/>
        <w:rPr>
          <w:sz w:val="24"/>
          <w:szCs w:val="24"/>
        </w:rPr>
      </w:pPr>
    </w:p>
    <w:p w14:paraId="1234F228" w14:textId="77777777" w:rsidR="007D02C7" w:rsidRDefault="007D02C7" w:rsidP="002626F3">
      <w:pPr>
        <w:pStyle w:val="ListParagraph"/>
        <w:ind w:left="360"/>
        <w:rPr>
          <w:sz w:val="24"/>
          <w:szCs w:val="24"/>
        </w:rPr>
      </w:pPr>
    </w:p>
    <w:p w14:paraId="143AB57C" w14:textId="77777777" w:rsidR="007D02C7" w:rsidRDefault="007D02C7" w:rsidP="002626F3">
      <w:pPr>
        <w:pStyle w:val="ListParagraph"/>
        <w:ind w:left="360"/>
        <w:rPr>
          <w:sz w:val="24"/>
          <w:szCs w:val="24"/>
        </w:rPr>
      </w:pPr>
    </w:p>
    <w:p w14:paraId="2B511E6E" w14:textId="77777777" w:rsidR="007D02C7" w:rsidRDefault="007D02C7" w:rsidP="002626F3">
      <w:pPr>
        <w:pStyle w:val="ListParagraph"/>
        <w:ind w:left="360"/>
        <w:rPr>
          <w:sz w:val="24"/>
          <w:szCs w:val="24"/>
        </w:rPr>
      </w:pPr>
    </w:p>
    <w:p w14:paraId="62092745" w14:textId="77777777" w:rsidR="002626F3" w:rsidRPr="002626F3" w:rsidRDefault="007D02C7" w:rsidP="002626F3">
      <w:pPr>
        <w:pStyle w:val="ListParagraph"/>
        <w:ind w:left="360"/>
        <w:rPr>
          <w:sz w:val="24"/>
          <w:szCs w:val="24"/>
        </w:rPr>
      </w:pPr>
      <w:r>
        <w:rPr>
          <w:sz w:val="24"/>
          <w:szCs w:val="24"/>
        </w:rPr>
        <w:lastRenderedPageBreak/>
        <w:t xml:space="preserve">So </w:t>
      </w:r>
      <w:r w:rsidR="00F96536">
        <w:rPr>
          <w:sz w:val="24"/>
          <w:szCs w:val="24"/>
        </w:rPr>
        <w:t>Ordered</w:t>
      </w:r>
      <w:r>
        <w:rPr>
          <w:sz w:val="24"/>
          <w:szCs w:val="24"/>
        </w:rPr>
        <w:t xml:space="preserve"> this </w:t>
      </w:r>
      <w:r w:rsidR="00063FFF">
        <w:rPr>
          <w:sz w:val="24"/>
          <w:szCs w:val="24"/>
        </w:rPr>
        <w:t>27th</w:t>
      </w:r>
      <w:r w:rsidR="002626F3" w:rsidRPr="002626F3">
        <w:rPr>
          <w:sz w:val="24"/>
          <w:szCs w:val="24"/>
        </w:rPr>
        <w:t xml:space="preserve"> day of </w:t>
      </w:r>
      <w:r>
        <w:rPr>
          <w:sz w:val="24"/>
          <w:szCs w:val="24"/>
        </w:rPr>
        <w:t>April</w:t>
      </w:r>
      <w:r w:rsidR="002626F3" w:rsidRPr="002626F3">
        <w:rPr>
          <w:sz w:val="24"/>
          <w:szCs w:val="24"/>
        </w:rPr>
        <w:t>, 201</w:t>
      </w:r>
      <w:r>
        <w:rPr>
          <w:sz w:val="24"/>
          <w:szCs w:val="24"/>
        </w:rPr>
        <w:t>7</w:t>
      </w:r>
      <w:r w:rsidR="002626F3" w:rsidRPr="002626F3">
        <w:rPr>
          <w:sz w:val="24"/>
          <w:szCs w:val="24"/>
        </w:rPr>
        <w:t>.</w:t>
      </w:r>
    </w:p>
    <w:p w14:paraId="14345C95" w14:textId="77777777" w:rsidR="002626F3" w:rsidRPr="002626F3" w:rsidRDefault="002626F3" w:rsidP="002626F3">
      <w:pPr>
        <w:pStyle w:val="ListParagraph"/>
        <w:ind w:left="360"/>
        <w:rPr>
          <w:sz w:val="24"/>
          <w:szCs w:val="24"/>
        </w:rPr>
      </w:pPr>
    </w:p>
    <w:p w14:paraId="37D083CA" w14:textId="77777777" w:rsidR="00F96742" w:rsidRDefault="00F96742" w:rsidP="002626F3">
      <w:pPr>
        <w:pStyle w:val="ListParagraph"/>
        <w:ind w:left="360"/>
        <w:rPr>
          <w:sz w:val="24"/>
          <w:szCs w:val="24"/>
        </w:rPr>
      </w:pPr>
    </w:p>
    <w:p w14:paraId="555CB70C" w14:textId="77777777" w:rsidR="002626F3" w:rsidRPr="002626F3" w:rsidRDefault="002626F3" w:rsidP="002626F3">
      <w:pPr>
        <w:pStyle w:val="ListParagraph"/>
        <w:ind w:left="360"/>
        <w:rPr>
          <w:sz w:val="24"/>
          <w:szCs w:val="24"/>
        </w:rPr>
      </w:pPr>
      <w:r w:rsidRPr="002626F3">
        <w:rPr>
          <w:sz w:val="24"/>
          <w:szCs w:val="24"/>
        </w:rPr>
        <w:t xml:space="preserve"> _________________________</w:t>
      </w:r>
      <w:r w:rsidR="00F96742">
        <w:rPr>
          <w:sz w:val="24"/>
          <w:szCs w:val="24"/>
        </w:rPr>
        <w:t xml:space="preserve">                                       </w:t>
      </w:r>
      <w:r w:rsidR="00982A4E">
        <w:rPr>
          <w:sz w:val="24"/>
          <w:szCs w:val="24"/>
        </w:rPr>
        <w:tab/>
      </w:r>
      <w:r w:rsidR="00F96742" w:rsidRPr="00F96742">
        <w:rPr>
          <w:sz w:val="24"/>
          <w:szCs w:val="24"/>
        </w:rPr>
        <w:t>______________________</w:t>
      </w:r>
    </w:p>
    <w:p w14:paraId="60E718F4" w14:textId="77777777" w:rsidR="002626F3" w:rsidRPr="002626F3" w:rsidRDefault="002626F3" w:rsidP="002626F3">
      <w:pPr>
        <w:pStyle w:val="ListParagraph"/>
        <w:ind w:left="360"/>
        <w:rPr>
          <w:sz w:val="24"/>
          <w:szCs w:val="24"/>
        </w:rPr>
      </w:pPr>
      <w:r w:rsidRPr="002626F3">
        <w:rPr>
          <w:sz w:val="24"/>
          <w:szCs w:val="24"/>
        </w:rPr>
        <w:t>Jeffrey C. Johnson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00982A4E">
        <w:rPr>
          <w:sz w:val="24"/>
          <w:szCs w:val="24"/>
        </w:rPr>
        <w:tab/>
      </w:r>
      <w:r w:rsidRPr="002626F3">
        <w:rPr>
          <w:sz w:val="24"/>
          <w:szCs w:val="24"/>
        </w:rPr>
        <w:t>Joseph M. McDonald</w:t>
      </w:r>
    </w:p>
    <w:p w14:paraId="1CB5416D" w14:textId="77777777" w:rsidR="002626F3" w:rsidRPr="002626F3" w:rsidRDefault="002626F3" w:rsidP="002626F3">
      <w:pPr>
        <w:pStyle w:val="ListParagraph"/>
        <w:ind w:left="360"/>
        <w:rPr>
          <w:sz w:val="24"/>
          <w:szCs w:val="24"/>
        </w:rPr>
      </w:pPr>
      <w:r w:rsidRPr="002626F3">
        <w:rPr>
          <w:sz w:val="24"/>
          <w:szCs w:val="24"/>
        </w:rPr>
        <w:t>Chairman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Commissioner</w:t>
      </w:r>
    </w:p>
    <w:p w14:paraId="709BC4F1" w14:textId="77777777" w:rsidR="002626F3" w:rsidRPr="002626F3" w:rsidRDefault="002626F3" w:rsidP="002626F3">
      <w:pPr>
        <w:pStyle w:val="ListParagraph"/>
        <w:ind w:left="360"/>
        <w:rPr>
          <w:sz w:val="24"/>
          <w:szCs w:val="24"/>
        </w:rPr>
      </w:pPr>
    </w:p>
    <w:p w14:paraId="22DF434B" w14:textId="77777777" w:rsidR="002626F3" w:rsidRPr="002626F3" w:rsidRDefault="002626F3" w:rsidP="002626F3">
      <w:pPr>
        <w:pStyle w:val="ListParagraph"/>
        <w:ind w:left="360"/>
        <w:rPr>
          <w:sz w:val="24"/>
          <w:szCs w:val="24"/>
        </w:rPr>
      </w:pPr>
      <w:r w:rsidRPr="002626F3">
        <w:rPr>
          <w:sz w:val="24"/>
          <w:szCs w:val="24"/>
        </w:rPr>
        <w:t>__________________________</w:t>
      </w:r>
      <w:r w:rsidRPr="002626F3">
        <w:rPr>
          <w:sz w:val="24"/>
          <w:szCs w:val="24"/>
        </w:rPr>
        <w:tab/>
      </w:r>
      <w:r w:rsidRPr="002626F3">
        <w:rPr>
          <w:sz w:val="24"/>
          <w:szCs w:val="24"/>
        </w:rPr>
        <w:tab/>
      </w:r>
      <w:r w:rsidRPr="002626F3">
        <w:rPr>
          <w:sz w:val="24"/>
          <w:szCs w:val="24"/>
        </w:rPr>
        <w:tab/>
      </w:r>
      <w:r w:rsidRPr="002626F3">
        <w:rPr>
          <w:sz w:val="24"/>
          <w:szCs w:val="24"/>
        </w:rPr>
        <w:tab/>
        <w:t>__________________________</w:t>
      </w:r>
    </w:p>
    <w:p w14:paraId="6A2563E5" w14:textId="77777777" w:rsidR="002626F3" w:rsidRPr="002626F3" w:rsidRDefault="002626F3" w:rsidP="002626F3">
      <w:pPr>
        <w:pStyle w:val="ListParagraph"/>
        <w:ind w:left="360"/>
        <w:rPr>
          <w:sz w:val="24"/>
          <w:szCs w:val="24"/>
        </w:rPr>
      </w:pPr>
      <w:r w:rsidRPr="002626F3">
        <w:rPr>
          <w:sz w:val="24"/>
          <w:szCs w:val="24"/>
        </w:rPr>
        <w:t>Rowena E. Perez</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Peter Montinola</w:t>
      </w:r>
    </w:p>
    <w:p w14:paraId="37762541" w14:textId="77777777" w:rsidR="002626F3" w:rsidRPr="002626F3" w:rsidRDefault="002626F3" w:rsidP="002626F3">
      <w:pPr>
        <w:pStyle w:val="ListParagraph"/>
        <w:ind w:left="360"/>
        <w:rPr>
          <w:sz w:val="24"/>
          <w:szCs w:val="24"/>
        </w:rPr>
      </w:pPr>
      <w:r w:rsidRPr="002626F3">
        <w:rPr>
          <w:sz w:val="24"/>
          <w:szCs w:val="24"/>
        </w:rPr>
        <w:t xml:space="preserve">Commissioner                                      </w:t>
      </w:r>
      <w:r w:rsidR="00F96742">
        <w:rPr>
          <w:sz w:val="24"/>
          <w:szCs w:val="24"/>
        </w:rPr>
        <w:t xml:space="preserve">                          </w:t>
      </w:r>
      <w:r w:rsidR="00982A4E">
        <w:rPr>
          <w:sz w:val="24"/>
          <w:szCs w:val="24"/>
        </w:rPr>
        <w:tab/>
      </w:r>
      <w:proofErr w:type="spellStart"/>
      <w:r w:rsidRPr="002626F3">
        <w:rPr>
          <w:sz w:val="24"/>
          <w:szCs w:val="24"/>
        </w:rPr>
        <w:t>Commissioner</w:t>
      </w:r>
      <w:proofErr w:type="spellEnd"/>
      <w:r w:rsidRPr="002626F3">
        <w:rPr>
          <w:sz w:val="24"/>
          <w:szCs w:val="24"/>
        </w:rPr>
        <w:tab/>
      </w:r>
      <w:r w:rsidRPr="002626F3">
        <w:rPr>
          <w:sz w:val="24"/>
          <w:szCs w:val="24"/>
        </w:rPr>
        <w:tab/>
      </w:r>
      <w:r w:rsidRPr="002626F3">
        <w:rPr>
          <w:sz w:val="24"/>
          <w:szCs w:val="24"/>
        </w:rPr>
        <w:tab/>
      </w:r>
    </w:p>
    <w:p w14:paraId="4A7FF904" w14:textId="77777777" w:rsidR="002626F3" w:rsidRDefault="002626F3" w:rsidP="002626F3">
      <w:pPr>
        <w:pStyle w:val="ListParagraph"/>
        <w:ind w:left="360"/>
        <w:rPr>
          <w:sz w:val="24"/>
          <w:szCs w:val="24"/>
        </w:rPr>
      </w:pPr>
    </w:p>
    <w:p w14:paraId="2A80F675" w14:textId="77777777" w:rsidR="007D02C7" w:rsidRPr="002626F3" w:rsidRDefault="007D02C7" w:rsidP="002626F3">
      <w:pPr>
        <w:pStyle w:val="ListParagraph"/>
        <w:ind w:left="360"/>
        <w:rPr>
          <w:sz w:val="24"/>
          <w:szCs w:val="24"/>
        </w:rPr>
      </w:pPr>
    </w:p>
    <w:p w14:paraId="307B9E7A" w14:textId="77777777" w:rsidR="002626F3" w:rsidRPr="002626F3" w:rsidRDefault="002626F3" w:rsidP="002626F3">
      <w:pPr>
        <w:pStyle w:val="ListParagraph"/>
        <w:ind w:left="360"/>
        <w:rPr>
          <w:sz w:val="24"/>
          <w:szCs w:val="24"/>
        </w:rPr>
      </w:pPr>
      <w:r w:rsidRPr="002626F3">
        <w:rPr>
          <w:sz w:val="24"/>
          <w:szCs w:val="24"/>
        </w:rPr>
        <w:t>__________________________</w:t>
      </w:r>
      <w:r w:rsidRPr="002626F3">
        <w:rPr>
          <w:sz w:val="24"/>
          <w:szCs w:val="24"/>
        </w:rPr>
        <w:tab/>
      </w:r>
      <w:r w:rsidRPr="002626F3">
        <w:rPr>
          <w:sz w:val="24"/>
          <w:szCs w:val="24"/>
        </w:rPr>
        <w:tab/>
      </w:r>
      <w:r w:rsidRPr="002626F3">
        <w:rPr>
          <w:sz w:val="24"/>
          <w:szCs w:val="24"/>
        </w:rPr>
        <w:tab/>
      </w:r>
      <w:r w:rsidRPr="002626F3">
        <w:rPr>
          <w:sz w:val="24"/>
          <w:szCs w:val="24"/>
        </w:rPr>
        <w:tab/>
        <w:t>__________________________</w:t>
      </w:r>
    </w:p>
    <w:p w14:paraId="117B7C19" w14:textId="77777777" w:rsidR="002626F3" w:rsidRPr="002626F3" w:rsidRDefault="002626F3" w:rsidP="002626F3">
      <w:pPr>
        <w:pStyle w:val="ListParagraph"/>
        <w:ind w:left="360"/>
        <w:rPr>
          <w:sz w:val="24"/>
          <w:szCs w:val="24"/>
        </w:rPr>
      </w:pPr>
      <w:r w:rsidRPr="002626F3">
        <w:rPr>
          <w:sz w:val="24"/>
          <w:szCs w:val="24"/>
        </w:rPr>
        <w:t>Michael A. Pangelinan</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Andrew L. Niven</w:t>
      </w:r>
    </w:p>
    <w:p w14:paraId="49549363" w14:textId="77777777" w:rsidR="002626F3" w:rsidRPr="002626F3" w:rsidRDefault="002626F3" w:rsidP="002626F3">
      <w:pPr>
        <w:pStyle w:val="ListParagraph"/>
        <w:ind w:left="360"/>
        <w:rPr>
          <w:sz w:val="24"/>
          <w:szCs w:val="24"/>
        </w:rPr>
      </w:pPr>
      <w:r w:rsidRPr="002626F3">
        <w:rPr>
          <w:sz w:val="24"/>
          <w:szCs w:val="24"/>
        </w:rPr>
        <w:t>Commissioner</w:t>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r>
      <w:r w:rsidRPr="002626F3">
        <w:rPr>
          <w:sz w:val="24"/>
          <w:szCs w:val="24"/>
        </w:rPr>
        <w:tab/>
        <w:t>Commissioner</w:t>
      </w:r>
    </w:p>
    <w:p w14:paraId="4CA721AB" w14:textId="77777777" w:rsidR="002626F3" w:rsidRPr="002626F3" w:rsidRDefault="002626F3" w:rsidP="002626F3">
      <w:pPr>
        <w:pStyle w:val="ListParagraph"/>
        <w:ind w:left="360"/>
        <w:rPr>
          <w:sz w:val="24"/>
          <w:szCs w:val="24"/>
        </w:rPr>
      </w:pPr>
    </w:p>
    <w:p w14:paraId="42C37BC1" w14:textId="77777777" w:rsidR="002626F3" w:rsidRPr="002626F3" w:rsidRDefault="002626F3" w:rsidP="002626F3">
      <w:pPr>
        <w:pStyle w:val="ListParagraph"/>
        <w:ind w:left="360"/>
        <w:rPr>
          <w:sz w:val="24"/>
          <w:szCs w:val="24"/>
        </w:rPr>
      </w:pPr>
      <w:r w:rsidRPr="002626F3">
        <w:rPr>
          <w:sz w:val="24"/>
          <w:szCs w:val="24"/>
        </w:rPr>
        <w:t>________________________</w:t>
      </w:r>
    </w:p>
    <w:p w14:paraId="606F84C3" w14:textId="77777777" w:rsidR="002626F3" w:rsidRPr="002626F3" w:rsidRDefault="002626F3" w:rsidP="002626F3">
      <w:pPr>
        <w:pStyle w:val="ListParagraph"/>
        <w:ind w:left="360"/>
        <w:rPr>
          <w:sz w:val="24"/>
          <w:szCs w:val="24"/>
        </w:rPr>
      </w:pPr>
      <w:r w:rsidRPr="002626F3">
        <w:rPr>
          <w:sz w:val="24"/>
          <w:szCs w:val="24"/>
        </w:rPr>
        <w:t>Filomena M. Cantoria</w:t>
      </w:r>
    </w:p>
    <w:p w14:paraId="31450B07" w14:textId="77777777" w:rsidR="002626F3" w:rsidRPr="002626F3" w:rsidRDefault="002626F3" w:rsidP="002626F3">
      <w:pPr>
        <w:pStyle w:val="ListParagraph"/>
        <w:ind w:left="360"/>
        <w:rPr>
          <w:sz w:val="24"/>
          <w:szCs w:val="24"/>
        </w:rPr>
      </w:pPr>
      <w:r w:rsidRPr="002626F3">
        <w:rPr>
          <w:sz w:val="24"/>
          <w:szCs w:val="24"/>
        </w:rPr>
        <w:t>Commissioner</w:t>
      </w:r>
      <w:r w:rsidRPr="002626F3">
        <w:rPr>
          <w:sz w:val="24"/>
          <w:szCs w:val="24"/>
        </w:rPr>
        <w:tab/>
      </w:r>
    </w:p>
    <w:p w14:paraId="40C4CB62" w14:textId="77777777" w:rsidR="002626F3" w:rsidRPr="002626F3" w:rsidRDefault="002626F3" w:rsidP="002626F3">
      <w:pPr>
        <w:pStyle w:val="ListParagraph"/>
        <w:ind w:left="360"/>
        <w:rPr>
          <w:sz w:val="24"/>
          <w:szCs w:val="24"/>
        </w:rPr>
      </w:pPr>
    </w:p>
    <w:p w14:paraId="58BB3F26" w14:textId="77777777" w:rsidR="00E558A2" w:rsidRPr="00211ECF" w:rsidRDefault="00E558A2" w:rsidP="00E558A2">
      <w:pPr>
        <w:pStyle w:val="ListParagraph"/>
        <w:ind w:left="360"/>
        <w:rPr>
          <w:sz w:val="24"/>
          <w:szCs w:val="24"/>
        </w:rPr>
      </w:pPr>
    </w:p>
    <w:p w14:paraId="227278C3" w14:textId="77777777" w:rsidR="00952B36" w:rsidRPr="00C13F79" w:rsidRDefault="00952B36" w:rsidP="00C13F79">
      <w:pPr>
        <w:jc w:val="center"/>
        <w:rPr>
          <w:b/>
          <w:sz w:val="24"/>
          <w:szCs w:val="24"/>
          <w:u w:val="single"/>
        </w:rPr>
      </w:pPr>
    </w:p>
    <w:p w14:paraId="1C8F9028" w14:textId="77777777" w:rsidR="00EC36F1" w:rsidRDefault="00EC36F1" w:rsidP="003A2782">
      <w:pPr>
        <w:ind w:left="432" w:hanging="432"/>
        <w:jc w:val="center"/>
        <w:rPr>
          <w:b/>
          <w:sz w:val="24"/>
          <w:szCs w:val="24"/>
          <w:u w:val="single"/>
        </w:rPr>
      </w:pPr>
    </w:p>
    <w:p w14:paraId="4A9A14AA" w14:textId="77777777" w:rsidR="00EC36F1" w:rsidRDefault="00EC36F1" w:rsidP="003A2782">
      <w:pPr>
        <w:ind w:left="432" w:hanging="432"/>
        <w:jc w:val="center"/>
        <w:rPr>
          <w:b/>
          <w:sz w:val="24"/>
          <w:szCs w:val="24"/>
          <w:u w:val="single"/>
        </w:rPr>
      </w:pPr>
    </w:p>
    <w:p w14:paraId="14179833" w14:textId="77777777" w:rsidR="00EC36F1" w:rsidRDefault="00EC36F1" w:rsidP="003A2782">
      <w:pPr>
        <w:ind w:left="432" w:hanging="432"/>
        <w:jc w:val="center"/>
        <w:rPr>
          <w:b/>
          <w:sz w:val="24"/>
          <w:szCs w:val="24"/>
          <w:u w:val="single"/>
        </w:rPr>
      </w:pPr>
    </w:p>
    <w:p w14:paraId="68369938" w14:textId="77777777" w:rsidR="00EC36F1" w:rsidRDefault="00EC36F1" w:rsidP="003A2782">
      <w:pPr>
        <w:ind w:left="432" w:hanging="432"/>
        <w:jc w:val="center"/>
        <w:rPr>
          <w:b/>
          <w:sz w:val="24"/>
          <w:szCs w:val="24"/>
          <w:u w:val="single"/>
        </w:rPr>
      </w:pPr>
    </w:p>
    <w:p w14:paraId="11A0D822" w14:textId="77777777" w:rsidR="00EC36F1" w:rsidRDefault="00EC36F1" w:rsidP="003A2782">
      <w:pPr>
        <w:ind w:left="432" w:hanging="432"/>
        <w:jc w:val="center"/>
        <w:rPr>
          <w:b/>
          <w:sz w:val="24"/>
          <w:szCs w:val="24"/>
          <w:u w:val="single"/>
        </w:rPr>
      </w:pPr>
    </w:p>
    <w:p w14:paraId="62903B35" w14:textId="77777777" w:rsidR="00EC36F1" w:rsidRDefault="00EC36F1" w:rsidP="003A2782">
      <w:pPr>
        <w:ind w:left="432" w:hanging="432"/>
        <w:jc w:val="center"/>
        <w:rPr>
          <w:b/>
          <w:sz w:val="24"/>
          <w:szCs w:val="24"/>
          <w:u w:val="single"/>
        </w:rPr>
      </w:pPr>
    </w:p>
    <w:sectPr w:rsidR="00EC36F1" w:rsidSect="002F717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41E6" w14:textId="77777777" w:rsidR="00C438A4" w:rsidRDefault="00C438A4" w:rsidP="003A2782">
      <w:r>
        <w:separator/>
      </w:r>
    </w:p>
  </w:endnote>
  <w:endnote w:type="continuationSeparator" w:id="0">
    <w:p w14:paraId="1DF5CBEB" w14:textId="77777777" w:rsidR="00C438A4" w:rsidRDefault="00C438A4" w:rsidP="003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20984"/>
      <w:docPartObj>
        <w:docPartGallery w:val="Page Numbers (Bottom of Page)"/>
        <w:docPartUnique/>
      </w:docPartObj>
    </w:sdtPr>
    <w:sdtEndPr>
      <w:rPr>
        <w:noProof/>
      </w:rPr>
    </w:sdtEndPr>
    <w:sdtContent>
      <w:p w14:paraId="47728B57" w14:textId="77777777" w:rsidR="007A7D76" w:rsidRDefault="007A7D76">
        <w:pPr>
          <w:pStyle w:val="Footer"/>
          <w:jc w:val="center"/>
        </w:pPr>
        <w:r>
          <w:fldChar w:fldCharType="begin"/>
        </w:r>
        <w:r>
          <w:instrText xml:space="preserve"> PAGE   \* MERGEFORMAT </w:instrText>
        </w:r>
        <w:r>
          <w:fldChar w:fldCharType="separate"/>
        </w:r>
        <w:r w:rsidR="005907B8">
          <w:rPr>
            <w:noProof/>
          </w:rPr>
          <w:t>4</w:t>
        </w:r>
        <w:r>
          <w:rPr>
            <w:noProof/>
          </w:rPr>
          <w:fldChar w:fldCharType="end"/>
        </w:r>
      </w:p>
    </w:sdtContent>
  </w:sdt>
  <w:p w14:paraId="105873D5" w14:textId="77777777" w:rsidR="007A7D76" w:rsidRDefault="007A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5C8F" w14:textId="77777777" w:rsidR="00C438A4" w:rsidRDefault="00C438A4" w:rsidP="003A2782">
      <w:r>
        <w:separator/>
      </w:r>
    </w:p>
  </w:footnote>
  <w:footnote w:type="continuationSeparator" w:id="0">
    <w:p w14:paraId="5470276C" w14:textId="77777777" w:rsidR="00C438A4" w:rsidRDefault="00C438A4" w:rsidP="003A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2552" w14:textId="77777777" w:rsidR="009461FC" w:rsidRDefault="005907B8" w:rsidP="003F31BF">
    <w:pPr>
      <w:tabs>
        <w:tab w:val="center" w:pos="4680"/>
        <w:tab w:val="right" w:pos="9360"/>
      </w:tabs>
    </w:pPr>
    <w:r>
      <w:t xml:space="preserve">Supplemental </w:t>
    </w:r>
    <w:r w:rsidR="00023BE1">
      <w:t>Order</w:t>
    </w:r>
  </w:p>
  <w:p w14:paraId="6E616D83" w14:textId="77777777" w:rsidR="009461FC" w:rsidRDefault="00173A22" w:rsidP="003F31BF">
    <w:pPr>
      <w:tabs>
        <w:tab w:val="center" w:pos="4680"/>
        <w:tab w:val="right" w:pos="9360"/>
      </w:tabs>
    </w:pPr>
    <w:r>
      <w:t xml:space="preserve">New Generation </w:t>
    </w:r>
  </w:p>
  <w:p w14:paraId="2AB339AB" w14:textId="77777777" w:rsidR="00272CBB" w:rsidRDefault="00173A22" w:rsidP="003F31BF">
    <w:pPr>
      <w:tabs>
        <w:tab w:val="center" w:pos="4680"/>
        <w:tab w:val="right" w:pos="9360"/>
      </w:tabs>
    </w:pPr>
    <w:r>
      <w:t>Combined Cycle Units</w:t>
    </w:r>
  </w:p>
  <w:p w14:paraId="38B8315C" w14:textId="77777777" w:rsidR="003F31BF" w:rsidRPr="003F31BF" w:rsidRDefault="003F31BF" w:rsidP="003F31BF">
    <w:pPr>
      <w:tabs>
        <w:tab w:val="center" w:pos="4680"/>
        <w:tab w:val="right" w:pos="9360"/>
      </w:tabs>
    </w:pPr>
    <w:r w:rsidRPr="003F31BF">
      <w:t>GPA Docket 15-</w:t>
    </w:r>
    <w:r w:rsidR="00092CD3">
      <w:t>05</w:t>
    </w:r>
  </w:p>
  <w:p w14:paraId="0D4A60E7" w14:textId="77777777" w:rsidR="003F31BF" w:rsidRPr="003F31BF" w:rsidRDefault="008A6718" w:rsidP="003F31BF">
    <w:pPr>
      <w:tabs>
        <w:tab w:val="center" w:pos="4680"/>
        <w:tab w:val="right" w:pos="9360"/>
      </w:tabs>
    </w:pPr>
    <w:r>
      <w:t>April</w:t>
    </w:r>
    <w:r w:rsidR="007F645C">
      <w:t xml:space="preserve"> </w:t>
    </w:r>
    <w:r w:rsidR="00BF7E41">
      <w:t>2</w:t>
    </w:r>
    <w:r w:rsidR="00023BE1">
      <w:t>7</w:t>
    </w:r>
    <w:r w:rsidR="003F31BF" w:rsidRPr="003F31BF">
      <w:t>, 201</w:t>
    </w:r>
    <w:r>
      <w:t>7</w:t>
    </w:r>
  </w:p>
  <w:p w14:paraId="79744685" w14:textId="77777777" w:rsidR="003F31BF" w:rsidRDefault="003F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DDE"/>
    <w:multiLevelType w:val="hybridMultilevel"/>
    <w:tmpl w:val="AB2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1FC"/>
    <w:multiLevelType w:val="hybridMultilevel"/>
    <w:tmpl w:val="9C72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3B64"/>
    <w:multiLevelType w:val="hybridMultilevel"/>
    <w:tmpl w:val="14B49646"/>
    <w:lvl w:ilvl="0" w:tplc="656C4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07B84"/>
    <w:multiLevelType w:val="hybridMultilevel"/>
    <w:tmpl w:val="42DE8CD8"/>
    <w:lvl w:ilvl="0" w:tplc="AF80638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74357"/>
    <w:multiLevelType w:val="hybridMultilevel"/>
    <w:tmpl w:val="6876180E"/>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3A744129"/>
    <w:multiLevelType w:val="hybridMultilevel"/>
    <w:tmpl w:val="0DB8ABC0"/>
    <w:lvl w:ilvl="0" w:tplc="D31EBABC">
      <w:start w:val="1"/>
      <w:numFmt w:val="decimal"/>
      <w:lvlText w:val="%1."/>
      <w:lvlJc w:val="left"/>
      <w:pPr>
        <w:ind w:left="11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E1E63"/>
    <w:multiLevelType w:val="hybridMultilevel"/>
    <w:tmpl w:val="8D427DF6"/>
    <w:lvl w:ilvl="0" w:tplc="AE9E6B0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409C7231"/>
    <w:multiLevelType w:val="hybridMultilevel"/>
    <w:tmpl w:val="3A5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55A39"/>
    <w:multiLevelType w:val="hybridMultilevel"/>
    <w:tmpl w:val="12B29174"/>
    <w:lvl w:ilvl="0" w:tplc="90EC449A">
      <w:start w:val="5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42C55"/>
    <w:multiLevelType w:val="hybridMultilevel"/>
    <w:tmpl w:val="0D4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85893"/>
    <w:multiLevelType w:val="hybridMultilevel"/>
    <w:tmpl w:val="75548B3E"/>
    <w:lvl w:ilvl="0" w:tplc="7B4EBF9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937F0"/>
    <w:multiLevelType w:val="hybridMultilevel"/>
    <w:tmpl w:val="46709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DA32F0"/>
    <w:multiLevelType w:val="hybridMultilevel"/>
    <w:tmpl w:val="E98AF984"/>
    <w:lvl w:ilvl="0" w:tplc="04C40F7E">
      <w:start w:val="1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C0065"/>
    <w:multiLevelType w:val="hybridMultilevel"/>
    <w:tmpl w:val="F30CBBE0"/>
    <w:lvl w:ilvl="0" w:tplc="A5961224">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4" w15:restartNumberingAfterBreak="0">
    <w:nsid w:val="756278E6"/>
    <w:multiLevelType w:val="hybridMultilevel"/>
    <w:tmpl w:val="192AE7CC"/>
    <w:lvl w:ilvl="0" w:tplc="1EEC933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B74BF"/>
    <w:multiLevelType w:val="hybridMultilevel"/>
    <w:tmpl w:val="3C12D930"/>
    <w:lvl w:ilvl="0" w:tplc="BE9AD0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81EA2"/>
    <w:multiLevelType w:val="hybridMultilevel"/>
    <w:tmpl w:val="B4D6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E02BF"/>
    <w:multiLevelType w:val="hybridMultilevel"/>
    <w:tmpl w:val="CA384970"/>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7"/>
  </w:num>
  <w:num w:numId="2">
    <w:abstractNumId w:val="6"/>
  </w:num>
  <w:num w:numId="3">
    <w:abstractNumId w:val="13"/>
  </w:num>
  <w:num w:numId="4">
    <w:abstractNumId w:val="7"/>
  </w:num>
  <w:num w:numId="5">
    <w:abstractNumId w:val="12"/>
  </w:num>
  <w:num w:numId="6">
    <w:abstractNumId w:val="14"/>
  </w:num>
  <w:num w:numId="7">
    <w:abstractNumId w:val="2"/>
  </w:num>
  <w:num w:numId="8">
    <w:abstractNumId w:val="3"/>
  </w:num>
  <w:num w:numId="9">
    <w:abstractNumId w:val="10"/>
  </w:num>
  <w:num w:numId="10">
    <w:abstractNumId w:val="8"/>
  </w:num>
  <w:num w:numId="11">
    <w:abstractNumId w:val="0"/>
  </w:num>
  <w:num w:numId="12">
    <w:abstractNumId w:val="1"/>
  </w:num>
  <w:num w:numId="13">
    <w:abstractNumId w:val="15"/>
  </w:num>
  <w:num w:numId="14">
    <w:abstractNumId w:val="9"/>
  </w:num>
  <w:num w:numId="15">
    <w:abstractNumId w:val="16"/>
  </w:num>
  <w:num w:numId="16">
    <w:abstractNumId w:val="1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782"/>
    <w:rsid w:val="00010354"/>
    <w:rsid w:val="00013592"/>
    <w:rsid w:val="0001472F"/>
    <w:rsid w:val="00022FFA"/>
    <w:rsid w:val="000235A4"/>
    <w:rsid w:val="00023BE1"/>
    <w:rsid w:val="000314C1"/>
    <w:rsid w:val="000325D0"/>
    <w:rsid w:val="00035E8C"/>
    <w:rsid w:val="00036022"/>
    <w:rsid w:val="00040522"/>
    <w:rsid w:val="000436DC"/>
    <w:rsid w:val="00047A90"/>
    <w:rsid w:val="00047DBF"/>
    <w:rsid w:val="000501FB"/>
    <w:rsid w:val="000631CF"/>
    <w:rsid w:val="00063FFF"/>
    <w:rsid w:val="00091899"/>
    <w:rsid w:val="00092CD3"/>
    <w:rsid w:val="00093B24"/>
    <w:rsid w:val="00094B11"/>
    <w:rsid w:val="00094FED"/>
    <w:rsid w:val="000A3B2A"/>
    <w:rsid w:val="000A40BC"/>
    <w:rsid w:val="000B11B0"/>
    <w:rsid w:val="000B28EF"/>
    <w:rsid w:val="000B2DA1"/>
    <w:rsid w:val="000B3049"/>
    <w:rsid w:val="000B4443"/>
    <w:rsid w:val="000B728E"/>
    <w:rsid w:val="000C06C8"/>
    <w:rsid w:val="000C095D"/>
    <w:rsid w:val="000C0A61"/>
    <w:rsid w:val="000C45CC"/>
    <w:rsid w:val="000C4AEB"/>
    <w:rsid w:val="000D7574"/>
    <w:rsid w:val="000E2067"/>
    <w:rsid w:val="000E60BA"/>
    <w:rsid w:val="000E6FFF"/>
    <w:rsid w:val="000F0DE5"/>
    <w:rsid w:val="000F7A19"/>
    <w:rsid w:val="0010026B"/>
    <w:rsid w:val="00101A57"/>
    <w:rsid w:val="00112ADB"/>
    <w:rsid w:val="00121526"/>
    <w:rsid w:val="00124A61"/>
    <w:rsid w:val="0013645D"/>
    <w:rsid w:val="001440E8"/>
    <w:rsid w:val="00146C8A"/>
    <w:rsid w:val="0015151A"/>
    <w:rsid w:val="001544C3"/>
    <w:rsid w:val="00155EBA"/>
    <w:rsid w:val="00157B49"/>
    <w:rsid w:val="00166449"/>
    <w:rsid w:val="00167A0F"/>
    <w:rsid w:val="00167C28"/>
    <w:rsid w:val="00170207"/>
    <w:rsid w:val="0017099B"/>
    <w:rsid w:val="00173A22"/>
    <w:rsid w:val="00180BD1"/>
    <w:rsid w:val="00197934"/>
    <w:rsid w:val="001A2155"/>
    <w:rsid w:val="001A3F4A"/>
    <w:rsid w:val="001A7CAC"/>
    <w:rsid w:val="001B077A"/>
    <w:rsid w:val="001B2220"/>
    <w:rsid w:val="001B271C"/>
    <w:rsid w:val="001B61BC"/>
    <w:rsid w:val="001C08CC"/>
    <w:rsid w:val="001D4EFA"/>
    <w:rsid w:val="001E5512"/>
    <w:rsid w:val="001E5CBF"/>
    <w:rsid w:val="001F5222"/>
    <w:rsid w:val="0020475A"/>
    <w:rsid w:val="0021021B"/>
    <w:rsid w:val="00211ECF"/>
    <w:rsid w:val="002168C6"/>
    <w:rsid w:val="002202DC"/>
    <w:rsid w:val="00222C3C"/>
    <w:rsid w:val="0022599E"/>
    <w:rsid w:val="00225B57"/>
    <w:rsid w:val="0023278D"/>
    <w:rsid w:val="00235890"/>
    <w:rsid w:val="00243471"/>
    <w:rsid w:val="00247EC9"/>
    <w:rsid w:val="002536F7"/>
    <w:rsid w:val="002548F8"/>
    <w:rsid w:val="0025515A"/>
    <w:rsid w:val="002626F3"/>
    <w:rsid w:val="00267F9E"/>
    <w:rsid w:val="00272CBB"/>
    <w:rsid w:val="00281B90"/>
    <w:rsid w:val="002853BB"/>
    <w:rsid w:val="00286A85"/>
    <w:rsid w:val="002905AC"/>
    <w:rsid w:val="00291C74"/>
    <w:rsid w:val="00292179"/>
    <w:rsid w:val="00293507"/>
    <w:rsid w:val="00295B27"/>
    <w:rsid w:val="00296717"/>
    <w:rsid w:val="00297570"/>
    <w:rsid w:val="002A543A"/>
    <w:rsid w:val="002A71B9"/>
    <w:rsid w:val="002B0259"/>
    <w:rsid w:val="002B1D13"/>
    <w:rsid w:val="002B49D4"/>
    <w:rsid w:val="002C2E1E"/>
    <w:rsid w:val="002D365F"/>
    <w:rsid w:val="002D3762"/>
    <w:rsid w:val="002E1FBE"/>
    <w:rsid w:val="002E2A98"/>
    <w:rsid w:val="002F3AA5"/>
    <w:rsid w:val="002F3E4F"/>
    <w:rsid w:val="002F717E"/>
    <w:rsid w:val="00317EB6"/>
    <w:rsid w:val="00334535"/>
    <w:rsid w:val="003434E6"/>
    <w:rsid w:val="00356BBE"/>
    <w:rsid w:val="0036083D"/>
    <w:rsid w:val="0036180A"/>
    <w:rsid w:val="003660F4"/>
    <w:rsid w:val="00366211"/>
    <w:rsid w:val="00371B91"/>
    <w:rsid w:val="0037318A"/>
    <w:rsid w:val="0037337E"/>
    <w:rsid w:val="003A2782"/>
    <w:rsid w:val="003A69BA"/>
    <w:rsid w:val="003B09A4"/>
    <w:rsid w:val="003B2913"/>
    <w:rsid w:val="003C0113"/>
    <w:rsid w:val="003C07EE"/>
    <w:rsid w:val="003C4163"/>
    <w:rsid w:val="003D14C5"/>
    <w:rsid w:val="003D2E4E"/>
    <w:rsid w:val="003D790F"/>
    <w:rsid w:val="003E243D"/>
    <w:rsid w:val="003E2530"/>
    <w:rsid w:val="003E3E38"/>
    <w:rsid w:val="003F246C"/>
    <w:rsid w:val="003F31BF"/>
    <w:rsid w:val="003F6ACD"/>
    <w:rsid w:val="00400854"/>
    <w:rsid w:val="00403C6C"/>
    <w:rsid w:val="00405C5F"/>
    <w:rsid w:val="00406327"/>
    <w:rsid w:val="00411662"/>
    <w:rsid w:val="00415ACD"/>
    <w:rsid w:val="0042184C"/>
    <w:rsid w:val="00432671"/>
    <w:rsid w:val="00435901"/>
    <w:rsid w:val="00437380"/>
    <w:rsid w:val="00437D38"/>
    <w:rsid w:val="00450056"/>
    <w:rsid w:val="00453196"/>
    <w:rsid w:val="00453767"/>
    <w:rsid w:val="00453A13"/>
    <w:rsid w:val="00462930"/>
    <w:rsid w:val="00467402"/>
    <w:rsid w:val="00481839"/>
    <w:rsid w:val="00481B70"/>
    <w:rsid w:val="00482129"/>
    <w:rsid w:val="004846C2"/>
    <w:rsid w:val="00486A95"/>
    <w:rsid w:val="004904DC"/>
    <w:rsid w:val="00497E6B"/>
    <w:rsid w:val="004B02AF"/>
    <w:rsid w:val="004B24ED"/>
    <w:rsid w:val="004B58D0"/>
    <w:rsid w:val="004C3A8D"/>
    <w:rsid w:val="004C4EE3"/>
    <w:rsid w:val="004C593C"/>
    <w:rsid w:val="004C6E12"/>
    <w:rsid w:val="004D125D"/>
    <w:rsid w:val="004D72CE"/>
    <w:rsid w:val="004E2D5B"/>
    <w:rsid w:val="004E47E1"/>
    <w:rsid w:val="00502DAE"/>
    <w:rsid w:val="00507FE0"/>
    <w:rsid w:val="0051237C"/>
    <w:rsid w:val="00517B72"/>
    <w:rsid w:val="00522D0E"/>
    <w:rsid w:val="0052524C"/>
    <w:rsid w:val="00527A97"/>
    <w:rsid w:val="00532732"/>
    <w:rsid w:val="0053792C"/>
    <w:rsid w:val="00540252"/>
    <w:rsid w:val="0054253F"/>
    <w:rsid w:val="00545545"/>
    <w:rsid w:val="005479E1"/>
    <w:rsid w:val="00547E88"/>
    <w:rsid w:val="005502B2"/>
    <w:rsid w:val="00553228"/>
    <w:rsid w:val="00560F7B"/>
    <w:rsid w:val="00562AF7"/>
    <w:rsid w:val="005631DE"/>
    <w:rsid w:val="0056446A"/>
    <w:rsid w:val="005661DD"/>
    <w:rsid w:val="005769A9"/>
    <w:rsid w:val="0058428F"/>
    <w:rsid w:val="005907B8"/>
    <w:rsid w:val="005A08D6"/>
    <w:rsid w:val="005A0F02"/>
    <w:rsid w:val="005A3B54"/>
    <w:rsid w:val="005A5DC1"/>
    <w:rsid w:val="005B54F0"/>
    <w:rsid w:val="005B5F57"/>
    <w:rsid w:val="005C22AB"/>
    <w:rsid w:val="005D6AD9"/>
    <w:rsid w:val="005E18B0"/>
    <w:rsid w:val="005F0D0F"/>
    <w:rsid w:val="005F39C8"/>
    <w:rsid w:val="006055B8"/>
    <w:rsid w:val="0060580C"/>
    <w:rsid w:val="00610FCE"/>
    <w:rsid w:val="00611ECC"/>
    <w:rsid w:val="00620101"/>
    <w:rsid w:val="00621138"/>
    <w:rsid w:val="006309AE"/>
    <w:rsid w:val="00643964"/>
    <w:rsid w:val="00647F28"/>
    <w:rsid w:val="0065450A"/>
    <w:rsid w:val="00657119"/>
    <w:rsid w:val="006600D3"/>
    <w:rsid w:val="00660F8E"/>
    <w:rsid w:val="0066109D"/>
    <w:rsid w:val="00666039"/>
    <w:rsid w:val="00666E70"/>
    <w:rsid w:val="00685DD5"/>
    <w:rsid w:val="006903C4"/>
    <w:rsid w:val="00691F36"/>
    <w:rsid w:val="006B6F13"/>
    <w:rsid w:val="006C41F5"/>
    <w:rsid w:val="006D774F"/>
    <w:rsid w:val="006E693F"/>
    <w:rsid w:val="007025AF"/>
    <w:rsid w:val="007027B8"/>
    <w:rsid w:val="00702EE4"/>
    <w:rsid w:val="00703021"/>
    <w:rsid w:val="00717E4F"/>
    <w:rsid w:val="007200BC"/>
    <w:rsid w:val="0072559D"/>
    <w:rsid w:val="00725F13"/>
    <w:rsid w:val="0073292D"/>
    <w:rsid w:val="00735882"/>
    <w:rsid w:val="00743490"/>
    <w:rsid w:val="00743A93"/>
    <w:rsid w:val="0075289E"/>
    <w:rsid w:val="00762289"/>
    <w:rsid w:val="007638EC"/>
    <w:rsid w:val="007703D9"/>
    <w:rsid w:val="0077575C"/>
    <w:rsid w:val="00782F8D"/>
    <w:rsid w:val="00792105"/>
    <w:rsid w:val="007928B3"/>
    <w:rsid w:val="00797FD2"/>
    <w:rsid w:val="007A7D76"/>
    <w:rsid w:val="007B3BE6"/>
    <w:rsid w:val="007B3BFC"/>
    <w:rsid w:val="007B4E50"/>
    <w:rsid w:val="007D02C7"/>
    <w:rsid w:val="007D174B"/>
    <w:rsid w:val="007D3976"/>
    <w:rsid w:val="007E01C4"/>
    <w:rsid w:val="007E37B6"/>
    <w:rsid w:val="007E4D34"/>
    <w:rsid w:val="007E6622"/>
    <w:rsid w:val="007F0A4B"/>
    <w:rsid w:val="007F31F8"/>
    <w:rsid w:val="007F645C"/>
    <w:rsid w:val="00805907"/>
    <w:rsid w:val="008061E3"/>
    <w:rsid w:val="00812C78"/>
    <w:rsid w:val="00814E99"/>
    <w:rsid w:val="008224AF"/>
    <w:rsid w:val="00823D9C"/>
    <w:rsid w:val="008325C4"/>
    <w:rsid w:val="00851359"/>
    <w:rsid w:val="00851527"/>
    <w:rsid w:val="00856FBE"/>
    <w:rsid w:val="00857D9D"/>
    <w:rsid w:val="00864587"/>
    <w:rsid w:val="008717FA"/>
    <w:rsid w:val="00874F28"/>
    <w:rsid w:val="008803F0"/>
    <w:rsid w:val="008814CA"/>
    <w:rsid w:val="00882918"/>
    <w:rsid w:val="008950CD"/>
    <w:rsid w:val="008A3D49"/>
    <w:rsid w:val="008A6718"/>
    <w:rsid w:val="008A7F56"/>
    <w:rsid w:val="008B4087"/>
    <w:rsid w:val="008B4EFE"/>
    <w:rsid w:val="008C0604"/>
    <w:rsid w:val="008C35AD"/>
    <w:rsid w:val="008D2039"/>
    <w:rsid w:val="008D34F7"/>
    <w:rsid w:val="008D776C"/>
    <w:rsid w:val="008F2725"/>
    <w:rsid w:val="008F505C"/>
    <w:rsid w:val="00904B1B"/>
    <w:rsid w:val="009161D8"/>
    <w:rsid w:val="0093159E"/>
    <w:rsid w:val="00935742"/>
    <w:rsid w:val="009461FC"/>
    <w:rsid w:val="00950BC0"/>
    <w:rsid w:val="00952B36"/>
    <w:rsid w:val="00954B84"/>
    <w:rsid w:val="0095697F"/>
    <w:rsid w:val="00957D14"/>
    <w:rsid w:val="00964900"/>
    <w:rsid w:val="0097232D"/>
    <w:rsid w:val="00975011"/>
    <w:rsid w:val="009756CB"/>
    <w:rsid w:val="00977952"/>
    <w:rsid w:val="00977A23"/>
    <w:rsid w:val="0098246D"/>
    <w:rsid w:val="00982A4E"/>
    <w:rsid w:val="00983509"/>
    <w:rsid w:val="00983927"/>
    <w:rsid w:val="00984094"/>
    <w:rsid w:val="009A653B"/>
    <w:rsid w:val="009B0635"/>
    <w:rsid w:val="009B1A4D"/>
    <w:rsid w:val="009B2281"/>
    <w:rsid w:val="009D051C"/>
    <w:rsid w:val="009D4B1E"/>
    <w:rsid w:val="009E0EC2"/>
    <w:rsid w:val="009E36C7"/>
    <w:rsid w:val="009E7826"/>
    <w:rsid w:val="009F2509"/>
    <w:rsid w:val="009F2E11"/>
    <w:rsid w:val="009F4506"/>
    <w:rsid w:val="00A00A63"/>
    <w:rsid w:val="00A17789"/>
    <w:rsid w:val="00A21FD4"/>
    <w:rsid w:val="00A260BE"/>
    <w:rsid w:val="00A34D89"/>
    <w:rsid w:val="00A41E77"/>
    <w:rsid w:val="00A47C30"/>
    <w:rsid w:val="00A56280"/>
    <w:rsid w:val="00A6082B"/>
    <w:rsid w:val="00A61635"/>
    <w:rsid w:val="00A6298E"/>
    <w:rsid w:val="00A6591D"/>
    <w:rsid w:val="00A73AAE"/>
    <w:rsid w:val="00A741CD"/>
    <w:rsid w:val="00A85403"/>
    <w:rsid w:val="00A9499B"/>
    <w:rsid w:val="00AA1379"/>
    <w:rsid w:val="00AC56DD"/>
    <w:rsid w:val="00AD532F"/>
    <w:rsid w:val="00AD5B6D"/>
    <w:rsid w:val="00AF3BCC"/>
    <w:rsid w:val="00B05AF2"/>
    <w:rsid w:val="00B10D0E"/>
    <w:rsid w:val="00B21057"/>
    <w:rsid w:val="00B21D96"/>
    <w:rsid w:val="00B23103"/>
    <w:rsid w:val="00B2391B"/>
    <w:rsid w:val="00B27A0C"/>
    <w:rsid w:val="00B34EBC"/>
    <w:rsid w:val="00B379DE"/>
    <w:rsid w:val="00B452DC"/>
    <w:rsid w:val="00B47F63"/>
    <w:rsid w:val="00B52187"/>
    <w:rsid w:val="00B53835"/>
    <w:rsid w:val="00B53CA8"/>
    <w:rsid w:val="00B550D6"/>
    <w:rsid w:val="00B571A0"/>
    <w:rsid w:val="00B578A9"/>
    <w:rsid w:val="00B62DD4"/>
    <w:rsid w:val="00B656B6"/>
    <w:rsid w:val="00B6766E"/>
    <w:rsid w:val="00B73786"/>
    <w:rsid w:val="00B83C40"/>
    <w:rsid w:val="00BA38C9"/>
    <w:rsid w:val="00BA5645"/>
    <w:rsid w:val="00BB2D41"/>
    <w:rsid w:val="00BC111E"/>
    <w:rsid w:val="00BC48DE"/>
    <w:rsid w:val="00BC717A"/>
    <w:rsid w:val="00BD0457"/>
    <w:rsid w:val="00BD3221"/>
    <w:rsid w:val="00BD6F3C"/>
    <w:rsid w:val="00BE05A4"/>
    <w:rsid w:val="00BE4032"/>
    <w:rsid w:val="00BE458E"/>
    <w:rsid w:val="00BE4F29"/>
    <w:rsid w:val="00BE5F5A"/>
    <w:rsid w:val="00BE6F80"/>
    <w:rsid w:val="00BE7DF8"/>
    <w:rsid w:val="00BF24E8"/>
    <w:rsid w:val="00BF3035"/>
    <w:rsid w:val="00BF7E41"/>
    <w:rsid w:val="00C00088"/>
    <w:rsid w:val="00C01E04"/>
    <w:rsid w:val="00C07EBF"/>
    <w:rsid w:val="00C1346F"/>
    <w:rsid w:val="00C13F79"/>
    <w:rsid w:val="00C200F6"/>
    <w:rsid w:val="00C226D9"/>
    <w:rsid w:val="00C438A4"/>
    <w:rsid w:val="00C43BE7"/>
    <w:rsid w:val="00C44C08"/>
    <w:rsid w:val="00C546B0"/>
    <w:rsid w:val="00C5492B"/>
    <w:rsid w:val="00C63EA9"/>
    <w:rsid w:val="00C651A0"/>
    <w:rsid w:val="00C679AA"/>
    <w:rsid w:val="00C74E3C"/>
    <w:rsid w:val="00C87E49"/>
    <w:rsid w:val="00C91FCB"/>
    <w:rsid w:val="00C9284F"/>
    <w:rsid w:val="00C93D18"/>
    <w:rsid w:val="00C9635E"/>
    <w:rsid w:val="00C964B8"/>
    <w:rsid w:val="00CA60DA"/>
    <w:rsid w:val="00CB0D7C"/>
    <w:rsid w:val="00CB1CC5"/>
    <w:rsid w:val="00CB5169"/>
    <w:rsid w:val="00CB7318"/>
    <w:rsid w:val="00CC354C"/>
    <w:rsid w:val="00CD10E8"/>
    <w:rsid w:val="00CD15A6"/>
    <w:rsid w:val="00CD1E7B"/>
    <w:rsid w:val="00CD484A"/>
    <w:rsid w:val="00CD7D9B"/>
    <w:rsid w:val="00CE3387"/>
    <w:rsid w:val="00CE46A7"/>
    <w:rsid w:val="00CE5DF5"/>
    <w:rsid w:val="00CE7066"/>
    <w:rsid w:val="00CF43BB"/>
    <w:rsid w:val="00CF5449"/>
    <w:rsid w:val="00CF59F0"/>
    <w:rsid w:val="00D03062"/>
    <w:rsid w:val="00D057F3"/>
    <w:rsid w:val="00D06368"/>
    <w:rsid w:val="00D0798F"/>
    <w:rsid w:val="00D10E9B"/>
    <w:rsid w:val="00D14021"/>
    <w:rsid w:val="00D1570E"/>
    <w:rsid w:val="00D34D25"/>
    <w:rsid w:val="00D35CD7"/>
    <w:rsid w:val="00D4437D"/>
    <w:rsid w:val="00D459CA"/>
    <w:rsid w:val="00D5105D"/>
    <w:rsid w:val="00D521F7"/>
    <w:rsid w:val="00D547D3"/>
    <w:rsid w:val="00D7095E"/>
    <w:rsid w:val="00D841AE"/>
    <w:rsid w:val="00D8491B"/>
    <w:rsid w:val="00D849D9"/>
    <w:rsid w:val="00D878C6"/>
    <w:rsid w:val="00D95B29"/>
    <w:rsid w:val="00DA4E9B"/>
    <w:rsid w:val="00DA79AC"/>
    <w:rsid w:val="00DB2A40"/>
    <w:rsid w:val="00DB46A0"/>
    <w:rsid w:val="00DB5F9E"/>
    <w:rsid w:val="00DB78CF"/>
    <w:rsid w:val="00DC021C"/>
    <w:rsid w:val="00DC22F6"/>
    <w:rsid w:val="00DC2797"/>
    <w:rsid w:val="00DC440A"/>
    <w:rsid w:val="00DC624A"/>
    <w:rsid w:val="00DD67ED"/>
    <w:rsid w:val="00DE10FE"/>
    <w:rsid w:val="00DE19DA"/>
    <w:rsid w:val="00DF1311"/>
    <w:rsid w:val="00E00464"/>
    <w:rsid w:val="00E004D3"/>
    <w:rsid w:val="00E13B15"/>
    <w:rsid w:val="00E208C2"/>
    <w:rsid w:val="00E22597"/>
    <w:rsid w:val="00E225AA"/>
    <w:rsid w:val="00E23AF5"/>
    <w:rsid w:val="00E266C8"/>
    <w:rsid w:val="00E33B58"/>
    <w:rsid w:val="00E33D08"/>
    <w:rsid w:val="00E41663"/>
    <w:rsid w:val="00E43558"/>
    <w:rsid w:val="00E43DFB"/>
    <w:rsid w:val="00E44E4F"/>
    <w:rsid w:val="00E4545B"/>
    <w:rsid w:val="00E50F7F"/>
    <w:rsid w:val="00E5582C"/>
    <w:rsid w:val="00E558A2"/>
    <w:rsid w:val="00E67703"/>
    <w:rsid w:val="00E7388C"/>
    <w:rsid w:val="00E834D1"/>
    <w:rsid w:val="00E90149"/>
    <w:rsid w:val="00EA1C08"/>
    <w:rsid w:val="00EA36FD"/>
    <w:rsid w:val="00EC36F1"/>
    <w:rsid w:val="00ED17A5"/>
    <w:rsid w:val="00ED2999"/>
    <w:rsid w:val="00EE239C"/>
    <w:rsid w:val="00EE47CF"/>
    <w:rsid w:val="00EE4F7C"/>
    <w:rsid w:val="00EE505A"/>
    <w:rsid w:val="00EF023B"/>
    <w:rsid w:val="00EF7474"/>
    <w:rsid w:val="00F02840"/>
    <w:rsid w:val="00F02B4C"/>
    <w:rsid w:val="00F06F4E"/>
    <w:rsid w:val="00F078D7"/>
    <w:rsid w:val="00F15840"/>
    <w:rsid w:val="00F52501"/>
    <w:rsid w:val="00F54CB5"/>
    <w:rsid w:val="00F61C3C"/>
    <w:rsid w:val="00F662C8"/>
    <w:rsid w:val="00F74BB4"/>
    <w:rsid w:val="00F75E1B"/>
    <w:rsid w:val="00F76BBB"/>
    <w:rsid w:val="00F8712C"/>
    <w:rsid w:val="00F90C28"/>
    <w:rsid w:val="00F9411B"/>
    <w:rsid w:val="00F9423C"/>
    <w:rsid w:val="00F948D7"/>
    <w:rsid w:val="00F96536"/>
    <w:rsid w:val="00F96742"/>
    <w:rsid w:val="00FA33AF"/>
    <w:rsid w:val="00FC28AF"/>
    <w:rsid w:val="00FC5512"/>
    <w:rsid w:val="00FE568C"/>
    <w:rsid w:val="00FE67E2"/>
    <w:rsid w:val="00FF0E21"/>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1BB960"/>
  <w15:docId w15:val="{7BFCF940-E55E-411B-8F1E-828E4BEF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lang w:val="en-US" w:eastAsia="en-US" w:bidi="ar-SA"/>
      </w:rPr>
    </w:rPrDefault>
    <w:pPrDefault>
      <w:pPr>
        <w:ind w:left="36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A2782"/>
    <w:pPr>
      <w:spacing w:line="254" w:lineRule="exact"/>
    </w:pPr>
  </w:style>
  <w:style w:type="paragraph" w:customStyle="1" w:styleId="AttorneyName">
    <w:name w:val="Attorney Name"/>
    <w:basedOn w:val="SingleSpacing"/>
    <w:rsid w:val="003A2782"/>
  </w:style>
  <w:style w:type="paragraph" w:styleId="FootnoteText">
    <w:name w:val="footnote text"/>
    <w:basedOn w:val="Normal"/>
    <w:link w:val="FootnoteTextChar"/>
    <w:uiPriority w:val="99"/>
    <w:semiHidden/>
    <w:unhideWhenUsed/>
    <w:rsid w:val="003A2782"/>
  </w:style>
  <w:style w:type="character" w:customStyle="1" w:styleId="FootnoteTextChar">
    <w:name w:val="Footnote Text Char"/>
    <w:basedOn w:val="DefaultParagraphFont"/>
    <w:link w:val="FootnoteText"/>
    <w:uiPriority w:val="99"/>
    <w:semiHidden/>
    <w:rsid w:val="003A2782"/>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3A2782"/>
    <w:rPr>
      <w:vertAlign w:val="superscript"/>
    </w:rPr>
  </w:style>
  <w:style w:type="paragraph" w:styleId="Header">
    <w:name w:val="header"/>
    <w:basedOn w:val="Normal"/>
    <w:link w:val="HeaderChar"/>
    <w:uiPriority w:val="99"/>
    <w:unhideWhenUsed/>
    <w:rsid w:val="007A7D76"/>
    <w:pPr>
      <w:tabs>
        <w:tab w:val="center" w:pos="4680"/>
        <w:tab w:val="right" w:pos="9360"/>
      </w:tabs>
    </w:pPr>
  </w:style>
  <w:style w:type="character" w:customStyle="1" w:styleId="HeaderChar">
    <w:name w:val="Header Char"/>
    <w:basedOn w:val="DefaultParagraphFont"/>
    <w:link w:val="Header"/>
    <w:uiPriority w:val="99"/>
    <w:rsid w:val="007A7D76"/>
    <w:rPr>
      <w:rFonts w:ascii="Courier New" w:eastAsia="Times New Roman" w:hAnsi="Courier New" w:cs="Times New Roman"/>
      <w:sz w:val="20"/>
      <w:szCs w:val="20"/>
    </w:rPr>
  </w:style>
  <w:style w:type="paragraph" w:styleId="Footer">
    <w:name w:val="footer"/>
    <w:basedOn w:val="Normal"/>
    <w:link w:val="FooterChar"/>
    <w:uiPriority w:val="99"/>
    <w:unhideWhenUsed/>
    <w:rsid w:val="007A7D76"/>
    <w:pPr>
      <w:tabs>
        <w:tab w:val="center" w:pos="4680"/>
        <w:tab w:val="right" w:pos="9360"/>
      </w:tabs>
    </w:pPr>
  </w:style>
  <w:style w:type="character" w:customStyle="1" w:styleId="FooterChar">
    <w:name w:val="Footer Char"/>
    <w:basedOn w:val="DefaultParagraphFont"/>
    <w:link w:val="Footer"/>
    <w:uiPriority w:val="99"/>
    <w:rsid w:val="007A7D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F31BF"/>
    <w:rPr>
      <w:rFonts w:ascii="Tahoma" w:hAnsi="Tahoma" w:cs="Tahoma"/>
      <w:sz w:val="16"/>
      <w:szCs w:val="16"/>
    </w:rPr>
  </w:style>
  <w:style w:type="character" w:customStyle="1" w:styleId="BalloonTextChar">
    <w:name w:val="Balloon Text Char"/>
    <w:basedOn w:val="DefaultParagraphFont"/>
    <w:link w:val="BalloonText"/>
    <w:uiPriority w:val="99"/>
    <w:semiHidden/>
    <w:rsid w:val="003F31BF"/>
    <w:rPr>
      <w:rFonts w:ascii="Tahoma" w:eastAsia="Times New Roman" w:hAnsi="Tahoma" w:cs="Tahoma"/>
      <w:sz w:val="16"/>
      <w:szCs w:val="16"/>
    </w:rPr>
  </w:style>
  <w:style w:type="paragraph" w:styleId="ListParagraph">
    <w:name w:val="List Paragraph"/>
    <w:basedOn w:val="Normal"/>
    <w:uiPriority w:val="34"/>
    <w:qFormat/>
    <w:rsid w:val="000F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DBBE-43C3-4F94-81C2-CA079E18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Owner</cp:lastModifiedBy>
  <cp:revision>2</cp:revision>
  <cp:lastPrinted>2018-04-12T23:55:00Z</cp:lastPrinted>
  <dcterms:created xsi:type="dcterms:W3CDTF">2019-10-09T00:06:00Z</dcterms:created>
  <dcterms:modified xsi:type="dcterms:W3CDTF">2019-10-09T00:06:00Z</dcterms:modified>
</cp:coreProperties>
</file>