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BC4E" w14:textId="77777777" w:rsidR="00EB427B" w:rsidRPr="00940243" w:rsidRDefault="00960B3C" w:rsidP="00EB427B">
      <w:pPr>
        <w:pStyle w:val="AttorneyName"/>
        <w:rPr>
          <w:rFonts w:ascii="Book Antiqua" w:hAnsi="Book Antiqua"/>
          <w:sz w:val="24"/>
          <w:szCs w:val="24"/>
        </w:rPr>
      </w:pPr>
      <w:r>
        <w:rPr>
          <w:rFonts w:ascii="Book Antiqua" w:hAnsi="Book Antiqua"/>
          <w:sz w:val="24"/>
          <w:szCs w:val="24"/>
        </w:rPr>
        <w:t xml:space="preserve"> </w:t>
      </w:r>
    </w:p>
    <w:p w14:paraId="00A9EC6F" w14:textId="77777777" w:rsidR="003E75FD" w:rsidRDefault="00940243" w:rsidP="00F90DE0">
      <w:pPr>
        <w:pStyle w:val="AttorneyName"/>
        <w:jc w:val="center"/>
        <w:rPr>
          <w:rFonts w:ascii="Book Antiqua" w:hAnsi="Book Antiqua"/>
          <w:b/>
          <w:sz w:val="24"/>
          <w:szCs w:val="24"/>
        </w:rPr>
      </w:pPr>
      <w:r>
        <w:rPr>
          <w:rFonts w:ascii="Book Antiqua" w:hAnsi="Book Antiqua"/>
          <w:b/>
          <w:sz w:val="24"/>
          <w:szCs w:val="24"/>
        </w:rPr>
        <w:t>BEFORE THE GUAM PUBLIC UTILITIES COMMISSION</w:t>
      </w:r>
    </w:p>
    <w:p w14:paraId="11E0079D" w14:textId="77777777" w:rsidR="00075C8D" w:rsidRPr="00F90DE0" w:rsidRDefault="00075C8D" w:rsidP="00F90DE0">
      <w:pPr>
        <w:pStyle w:val="AttorneyName"/>
        <w:jc w:val="center"/>
        <w:rPr>
          <w:rFonts w:ascii="Book Antiqua" w:hAnsi="Book Antiqua"/>
          <w:b/>
          <w:sz w:val="24"/>
          <w:szCs w:val="24"/>
        </w:rPr>
      </w:pPr>
    </w:p>
    <w:p w14:paraId="5A90C8BC" w14:textId="77777777" w:rsidR="003E75FD" w:rsidRPr="00940243" w:rsidRDefault="003E75FD" w:rsidP="00546236">
      <w:pPr>
        <w:pStyle w:val="AttorneyName"/>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B427B" w:rsidRPr="00940243" w14:paraId="595014FE" w14:textId="77777777">
        <w:tc>
          <w:tcPr>
            <w:tcW w:w="4542" w:type="dxa"/>
            <w:tcBorders>
              <w:bottom w:val="single" w:sz="4" w:space="0" w:color="auto"/>
            </w:tcBorders>
            <w:shd w:val="clear" w:color="auto" w:fill="auto"/>
          </w:tcPr>
          <w:p w14:paraId="7F71AA33" w14:textId="77777777" w:rsidR="00EB427B" w:rsidRDefault="00940243" w:rsidP="00FE09D4">
            <w:pPr>
              <w:tabs>
                <w:tab w:val="left" w:pos="1500"/>
              </w:tabs>
              <w:spacing w:line="240" w:lineRule="auto"/>
              <w:rPr>
                <w:rFonts w:ascii="Book Antiqua" w:hAnsi="Book Antiqua"/>
                <w:sz w:val="24"/>
                <w:szCs w:val="24"/>
              </w:rPr>
            </w:pPr>
            <w:bookmarkStart w:id="0" w:name="Parties"/>
            <w:bookmarkEnd w:id="0"/>
            <w:r>
              <w:rPr>
                <w:rFonts w:ascii="Book Antiqua" w:hAnsi="Book Antiqua"/>
                <w:sz w:val="24"/>
                <w:szCs w:val="24"/>
              </w:rPr>
              <w:t>IN THE MATTER OF:</w:t>
            </w:r>
          </w:p>
          <w:p w14:paraId="469B5D37" w14:textId="77777777" w:rsidR="00FE09D4" w:rsidRDefault="00FE09D4" w:rsidP="00FE09D4">
            <w:pPr>
              <w:tabs>
                <w:tab w:val="left" w:pos="1500"/>
              </w:tabs>
              <w:spacing w:line="240" w:lineRule="auto"/>
              <w:rPr>
                <w:rFonts w:ascii="Book Antiqua" w:hAnsi="Book Antiqua"/>
                <w:sz w:val="24"/>
                <w:szCs w:val="24"/>
              </w:rPr>
            </w:pPr>
          </w:p>
          <w:p w14:paraId="5153D607" w14:textId="77777777" w:rsidR="00E86981" w:rsidRPr="00940243" w:rsidRDefault="00F37B6F" w:rsidP="00755BA4">
            <w:pPr>
              <w:tabs>
                <w:tab w:val="left" w:pos="1500"/>
              </w:tabs>
              <w:spacing w:line="240" w:lineRule="auto"/>
              <w:rPr>
                <w:rFonts w:ascii="Book Antiqua" w:hAnsi="Book Antiqua"/>
                <w:sz w:val="24"/>
                <w:szCs w:val="24"/>
              </w:rPr>
            </w:pPr>
            <w:r>
              <w:rPr>
                <w:rFonts w:ascii="Book Antiqua" w:hAnsi="Book Antiqua"/>
                <w:sz w:val="24"/>
                <w:szCs w:val="24"/>
              </w:rPr>
              <w:t>The Guam Power Authority Levelized Energy Adjustment Clause (LEAC)</w:t>
            </w:r>
          </w:p>
        </w:tc>
        <w:tc>
          <w:tcPr>
            <w:tcW w:w="276" w:type="dxa"/>
            <w:shd w:val="clear" w:color="auto" w:fill="auto"/>
          </w:tcPr>
          <w:p w14:paraId="1846BC96"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6CBD8B80"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9D9281"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0A3302"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853ACE5"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D1C8683"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A6127B5" w14:textId="77777777" w:rsidR="00EB427B"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tc>
        <w:tc>
          <w:tcPr>
            <w:tcW w:w="4542" w:type="dxa"/>
            <w:shd w:val="clear" w:color="auto" w:fill="auto"/>
          </w:tcPr>
          <w:p w14:paraId="3C3D159C" w14:textId="48C3AFF7" w:rsidR="00121368" w:rsidRDefault="002D4BA1" w:rsidP="00FE09D4">
            <w:pPr>
              <w:pStyle w:val="SingleSpacing"/>
              <w:spacing w:line="240" w:lineRule="auto"/>
              <w:rPr>
                <w:rFonts w:ascii="Book Antiqua" w:hAnsi="Book Antiqua"/>
                <w:sz w:val="24"/>
                <w:szCs w:val="24"/>
              </w:rPr>
            </w:pPr>
            <w:bookmarkStart w:id="1" w:name="CaseNumber"/>
            <w:bookmarkEnd w:id="1"/>
            <w:r>
              <w:rPr>
                <w:rFonts w:ascii="Book Antiqua" w:hAnsi="Book Antiqua"/>
                <w:sz w:val="24"/>
                <w:szCs w:val="24"/>
              </w:rPr>
              <w:t xml:space="preserve">GPA Docket </w:t>
            </w:r>
            <w:r w:rsidR="00F11FC3">
              <w:rPr>
                <w:rFonts w:ascii="Book Antiqua" w:hAnsi="Book Antiqua"/>
                <w:sz w:val="24"/>
                <w:szCs w:val="24"/>
              </w:rPr>
              <w:t>20</w:t>
            </w:r>
            <w:r w:rsidR="001C328D">
              <w:rPr>
                <w:rFonts w:ascii="Book Antiqua" w:hAnsi="Book Antiqua"/>
                <w:sz w:val="24"/>
                <w:szCs w:val="24"/>
              </w:rPr>
              <w:t>-</w:t>
            </w:r>
            <w:r w:rsidR="006358F2">
              <w:rPr>
                <w:rFonts w:ascii="Book Antiqua" w:hAnsi="Book Antiqua"/>
                <w:sz w:val="24"/>
                <w:szCs w:val="24"/>
              </w:rPr>
              <w:t>12</w:t>
            </w:r>
            <w:r w:rsidR="009F7E72">
              <w:rPr>
                <w:rFonts w:ascii="Book Antiqua" w:hAnsi="Book Antiqua"/>
                <w:sz w:val="24"/>
                <w:szCs w:val="24"/>
              </w:rPr>
              <w:t xml:space="preserve"> </w:t>
            </w:r>
          </w:p>
          <w:p w14:paraId="0E72C6C2" w14:textId="77777777" w:rsidR="00121368" w:rsidRDefault="00121368" w:rsidP="00FE09D4">
            <w:pPr>
              <w:pStyle w:val="SingleSpacing"/>
              <w:spacing w:line="240" w:lineRule="auto"/>
              <w:rPr>
                <w:rFonts w:ascii="Book Antiqua" w:hAnsi="Book Antiqua"/>
                <w:sz w:val="24"/>
                <w:szCs w:val="24"/>
              </w:rPr>
            </w:pPr>
          </w:p>
          <w:p w14:paraId="643FC615" w14:textId="77777777" w:rsidR="009F7E72" w:rsidRPr="00940243" w:rsidRDefault="009F7E72" w:rsidP="00FE09D4">
            <w:pPr>
              <w:pStyle w:val="SingleSpacing"/>
              <w:spacing w:line="240" w:lineRule="auto"/>
              <w:rPr>
                <w:rFonts w:ascii="Book Antiqua" w:hAnsi="Book Antiqua"/>
                <w:sz w:val="24"/>
                <w:szCs w:val="24"/>
              </w:rPr>
            </w:pPr>
          </w:p>
          <w:p w14:paraId="7D9F0A03" w14:textId="0EA431FD" w:rsidR="00EB427B" w:rsidRPr="00FE09D4" w:rsidRDefault="00D82AE9" w:rsidP="00FE09D4">
            <w:pPr>
              <w:pStyle w:val="SingleSpacing"/>
              <w:spacing w:line="240" w:lineRule="auto"/>
              <w:rPr>
                <w:rFonts w:ascii="Book Antiqua" w:hAnsi="Book Antiqua"/>
                <w:b/>
                <w:sz w:val="24"/>
                <w:szCs w:val="24"/>
              </w:rPr>
            </w:pPr>
            <w:r>
              <w:rPr>
                <w:rFonts w:ascii="Book Antiqua" w:hAnsi="Book Antiqua"/>
                <w:b/>
                <w:sz w:val="24"/>
                <w:szCs w:val="24"/>
              </w:rPr>
              <w:t>ORDER</w:t>
            </w:r>
          </w:p>
        </w:tc>
      </w:tr>
    </w:tbl>
    <w:p w14:paraId="70423082" w14:textId="77777777" w:rsidR="00FE09D4" w:rsidRDefault="00FE09D4" w:rsidP="00FE09D4">
      <w:pPr>
        <w:spacing w:line="240" w:lineRule="auto"/>
        <w:jc w:val="center"/>
        <w:rPr>
          <w:rFonts w:ascii="Book Antiqua" w:hAnsi="Book Antiqua"/>
          <w:b/>
          <w:sz w:val="24"/>
          <w:szCs w:val="24"/>
          <w:u w:val="single"/>
        </w:rPr>
      </w:pPr>
    </w:p>
    <w:p w14:paraId="364BDC12" w14:textId="77777777" w:rsidR="00121368" w:rsidRDefault="00FE09D4" w:rsidP="00FE09D4">
      <w:pPr>
        <w:spacing w:line="240" w:lineRule="auto"/>
        <w:jc w:val="center"/>
        <w:rPr>
          <w:rFonts w:ascii="Book Antiqua" w:hAnsi="Book Antiqua"/>
          <w:b/>
          <w:sz w:val="24"/>
          <w:szCs w:val="24"/>
          <w:u w:val="single"/>
        </w:rPr>
      </w:pPr>
      <w:r>
        <w:rPr>
          <w:rFonts w:ascii="Book Antiqua" w:hAnsi="Book Antiqua"/>
          <w:b/>
          <w:sz w:val="24"/>
          <w:szCs w:val="24"/>
          <w:u w:val="single"/>
        </w:rPr>
        <w:t>INTRODUCTION</w:t>
      </w:r>
    </w:p>
    <w:p w14:paraId="1746674C" w14:textId="77777777" w:rsidR="00FE09D4" w:rsidRPr="00FE09D4" w:rsidRDefault="00FE09D4" w:rsidP="00FE09D4">
      <w:pPr>
        <w:spacing w:line="240" w:lineRule="auto"/>
        <w:jc w:val="center"/>
        <w:rPr>
          <w:rFonts w:ascii="Book Antiqua" w:hAnsi="Book Antiqua"/>
          <w:b/>
          <w:sz w:val="24"/>
          <w:szCs w:val="24"/>
          <w:u w:val="single"/>
        </w:rPr>
      </w:pPr>
    </w:p>
    <w:p w14:paraId="02F59067" w14:textId="6B00082C" w:rsidR="009A76BA" w:rsidRDefault="00FE09D4" w:rsidP="006A7451">
      <w:pPr>
        <w:pStyle w:val="ListParagraph"/>
        <w:numPr>
          <w:ilvl w:val="0"/>
          <w:numId w:val="5"/>
        </w:numPr>
        <w:spacing w:line="240" w:lineRule="auto"/>
        <w:ind w:left="360"/>
        <w:rPr>
          <w:rFonts w:ascii="Book Antiqua" w:hAnsi="Book Antiqua"/>
          <w:sz w:val="24"/>
          <w:szCs w:val="24"/>
        </w:rPr>
      </w:pPr>
      <w:r w:rsidRPr="006A7451">
        <w:rPr>
          <w:rFonts w:ascii="Book Antiqua" w:hAnsi="Book Antiqua"/>
          <w:sz w:val="24"/>
          <w:szCs w:val="24"/>
        </w:rPr>
        <w:t>This matter comes before the Guam Public Utilities Commissi</w:t>
      </w:r>
      <w:r w:rsidR="000228BD" w:rsidRPr="006A7451">
        <w:rPr>
          <w:rFonts w:ascii="Book Antiqua" w:hAnsi="Book Antiqua"/>
          <w:sz w:val="24"/>
          <w:szCs w:val="24"/>
        </w:rPr>
        <w:t xml:space="preserve">on [“PUC”] upon the </w:t>
      </w:r>
      <w:r w:rsidR="00A43273" w:rsidRPr="006A7451">
        <w:rPr>
          <w:rFonts w:ascii="Book Antiqua" w:hAnsi="Book Antiqua"/>
          <w:sz w:val="24"/>
          <w:szCs w:val="24"/>
        </w:rPr>
        <w:t>Petition of the Guam Power Authority</w:t>
      </w:r>
      <w:r w:rsidR="00513537" w:rsidRPr="006A7451">
        <w:rPr>
          <w:rFonts w:ascii="Book Antiqua" w:hAnsi="Book Antiqua"/>
          <w:sz w:val="24"/>
          <w:szCs w:val="24"/>
        </w:rPr>
        <w:t xml:space="preserve"> </w:t>
      </w:r>
      <w:r w:rsidR="009A0879" w:rsidRPr="006A7451">
        <w:rPr>
          <w:rFonts w:ascii="Book Antiqua" w:hAnsi="Book Antiqua"/>
          <w:sz w:val="24"/>
          <w:szCs w:val="24"/>
        </w:rPr>
        <w:t xml:space="preserve">[“GPA”] </w:t>
      </w:r>
      <w:r w:rsidR="00513537" w:rsidRPr="006A7451">
        <w:rPr>
          <w:rFonts w:ascii="Book Antiqua" w:hAnsi="Book Antiqua"/>
          <w:sz w:val="24"/>
          <w:szCs w:val="24"/>
        </w:rPr>
        <w:t xml:space="preserve">to set </w:t>
      </w:r>
      <w:r w:rsidR="006358F2">
        <w:rPr>
          <w:rFonts w:ascii="Book Antiqua" w:hAnsi="Book Antiqua"/>
          <w:sz w:val="24"/>
          <w:szCs w:val="24"/>
        </w:rPr>
        <w:t xml:space="preserve">an Interim </w:t>
      </w:r>
      <w:r w:rsidR="00513537" w:rsidRPr="006A7451">
        <w:rPr>
          <w:rFonts w:ascii="Book Antiqua" w:hAnsi="Book Antiqua"/>
          <w:sz w:val="24"/>
          <w:szCs w:val="24"/>
        </w:rPr>
        <w:t xml:space="preserve">LEAC </w:t>
      </w:r>
      <w:r w:rsidR="00DB4558">
        <w:rPr>
          <w:rFonts w:ascii="Book Antiqua" w:hAnsi="Book Antiqua"/>
          <w:sz w:val="24"/>
          <w:szCs w:val="24"/>
        </w:rPr>
        <w:t>Factor</w:t>
      </w:r>
      <w:r w:rsidR="00513537" w:rsidRPr="006A7451">
        <w:rPr>
          <w:rFonts w:ascii="Book Antiqua" w:hAnsi="Book Antiqua"/>
          <w:sz w:val="24"/>
          <w:szCs w:val="24"/>
        </w:rPr>
        <w:t xml:space="preserve"> effective </w:t>
      </w:r>
      <w:r w:rsidR="006358F2">
        <w:rPr>
          <w:rFonts w:ascii="Book Antiqua" w:hAnsi="Book Antiqua"/>
          <w:sz w:val="24"/>
          <w:szCs w:val="24"/>
        </w:rPr>
        <w:t>April</w:t>
      </w:r>
      <w:r w:rsidR="00F11FC3">
        <w:rPr>
          <w:rFonts w:ascii="Book Antiqua" w:hAnsi="Book Antiqua"/>
          <w:sz w:val="24"/>
          <w:szCs w:val="24"/>
        </w:rPr>
        <w:t xml:space="preserve"> </w:t>
      </w:r>
      <w:r w:rsidR="006C37F3">
        <w:rPr>
          <w:rFonts w:ascii="Book Antiqua" w:hAnsi="Book Antiqua"/>
          <w:sz w:val="24"/>
          <w:szCs w:val="24"/>
        </w:rPr>
        <w:t>1, 2</w:t>
      </w:r>
      <w:r w:rsidR="008B0968">
        <w:rPr>
          <w:rFonts w:ascii="Book Antiqua" w:hAnsi="Book Antiqua"/>
          <w:sz w:val="24"/>
          <w:szCs w:val="24"/>
        </w:rPr>
        <w:t>0</w:t>
      </w:r>
      <w:r w:rsidR="00F11FC3">
        <w:rPr>
          <w:rFonts w:ascii="Book Antiqua" w:hAnsi="Book Antiqua"/>
          <w:sz w:val="24"/>
          <w:szCs w:val="24"/>
        </w:rPr>
        <w:t>20</w:t>
      </w:r>
      <w:r w:rsidR="00513537" w:rsidRPr="006A7451">
        <w:rPr>
          <w:rFonts w:ascii="Book Antiqua" w:hAnsi="Book Antiqua"/>
          <w:sz w:val="24"/>
          <w:szCs w:val="24"/>
        </w:rPr>
        <w:t>.</w:t>
      </w:r>
      <w:r w:rsidR="00513537">
        <w:rPr>
          <w:rStyle w:val="FootnoteReference"/>
          <w:rFonts w:ascii="Book Antiqua" w:hAnsi="Book Antiqua"/>
          <w:sz w:val="24"/>
          <w:szCs w:val="24"/>
        </w:rPr>
        <w:footnoteReference w:id="1"/>
      </w:r>
    </w:p>
    <w:p w14:paraId="1B44CC21" w14:textId="77777777" w:rsidR="007119CA" w:rsidRPr="00C5641A" w:rsidRDefault="007119CA" w:rsidP="007119CA">
      <w:pPr>
        <w:pStyle w:val="ListParagraph"/>
        <w:spacing w:line="240" w:lineRule="auto"/>
        <w:ind w:left="432"/>
        <w:rPr>
          <w:rFonts w:ascii="Book Antiqua" w:hAnsi="Book Antiqua"/>
          <w:sz w:val="24"/>
          <w:szCs w:val="24"/>
        </w:rPr>
      </w:pPr>
    </w:p>
    <w:p w14:paraId="53CBD3EC" w14:textId="27C08261" w:rsidR="00513537" w:rsidRPr="00EA7662" w:rsidRDefault="00EF0BC8" w:rsidP="00EA7662">
      <w:pPr>
        <w:pStyle w:val="ListParagraph"/>
        <w:numPr>
          <w:ilvl w:val="0"/>
          <w:numId w:val="5"/>
        </w:numPr>
        <w:spacing w:line="240" w:lineRule="auto"/>
        <w:ind w:left="432" w:hanging="432"/>
        <w:rPr>
          <w:rFonts w:ascii="Book Antiqua" w:hAnsi="Book Antiqua"/>
          <w:sz w:val="24"/>
          <w:szCs w:val="24"/>
        </w:rPr>
      </w:pPr>
      <w:r w:rsidRPr="00EA7662">
        <w:rPr>
          <w:rFonts w:ascii="Book Antiqua" w:hAnsi="Book Antiqua"/>
          <w:sz w:val="24"/>
          <w:szCs w:val="24"/>
        </w:rPr>
        <w:t xml:space="preserve">GPA seeks to </w:t>
      </w:r>
      <w:r w:rsidR="004E6C18">
        <w:rPr>
          <w:rFonts w:ascii="Book Antiqua" w:hAnsi="Book Antiqua"/>
          <w:sz w:val="24"/>
          <w:szCs w:val="24"/>
        </w:rPr>
        <w:t>reduce</w:t>
      </w:r>
      <w:r w:rsidRPr="00EA7662">
        <w:rPr>
          <w:rFonts w:ascii="Book Antiqua" w:hAnsi="Book Antiqua"/>
          <w:sz w:val="24"/>
          <w:szCs w:val="24"/>
        </w:rPr>
        <w:t xml:space="preserve"> the LEAC Factor </w:t>
      </w:r>
      <w:r w:rsidR="00401F87">
        <w:rPr>
          <w:rFonts w:ascii="Book Antiqua" w:hAnsi="Book Antiqua"/>
          <w:sz w:val="24"/>
          <w:szCs w:val="24"/>
        </w:rPr>
        <w:t>from $.1</w:t>
      </w:r>
      <w:r w:rsidR="006358F2">
        <w:rPr>
          <w:rFonts w:ascii="Book Antiqua" w:hAnsi="Book Antiqua"/>
          <w:sz w:val="24"/>
          <w:szCs w:val="24"/>
        </w:rPr>
        <w:t>34474</w:t>
      </w:r>
      <w:r w:rsidR="00401F87">
        <w:rPr>
          <w:rFonts w:ascii="Book Antiqua" w:hAnsi="Book Antiqua"/>
          <w:sz w:val="24"/>
          <w:szCs w:val="24"/>
        </w:rPr>
        <w:t xml:space="preserve">/kWh to </w:t>
      </w:r>
      <w:bookmarkStart w:id="3" w:name="_Hlk36105336"/>
      <w:bookmarkStart w:id="4" w:name="_Hlk36102798"/>
      <w:r w:rsidR="00401F87">
        <w:rPr>
          <w:rFonts w:ascii="Book Antiqua" w:hAnsi="Book Antiqua"/>
          <w:sz w:val="24"/>
          <w:szCs w:val="24"/>
        </w:rPr>
        <w:t>$.1</w:t>
      </w:r>
      <w:r w:rsidR="006358F2">
        <w:rPr>
          <w:rFonts w:ascii="Book Antiqua" w:hAnsi="Book Antiqua"/>
          <w:sz w:val="24"/>
          <w:szCs w:val="24"/>
        </w:rPr>
        <w:t>10039</w:t>
      </w:r>
      <w:r w:rsidR="00401F87">
        <w:rPr>
          <w:rFonts w:ascii="Book Antiqua" w:hAnsi="Book Antiqua"/>
          <w:sz w:val="24"/>
          <w:szCs w:val="24"/>
        </w:rPr>
        <w:t>/kWh</w:t>
      </w:r>
      <w:bookmarkEnd w:id="3"/>
      <w:r w:rsidR="00401F87">
        <w:rPr>
          <w:rFonts w:ascii="Book Antiqua" w:hAnsi="Book Antiqua"/>
          <w:sz w:val="24"/>
          <w:szCs w:val="24"/>
        </w:rPr>
        <w:t xml:space="preserve"> for meters read on or after </w:t>
      </w:r>
      <w:r w:rsidR="006358F2">
        <w:rPr>
          <w:rFonts w:ascii="Book Antiqua" w:hAnsi="Book Antiqua"/>
          <w:sz w:val="24"/>
          <w:szCs w:val="24"/>
        </w:rPr>
        <w:t>April</w:t>
      </w:r>
      <w:r w:rsidR="00401F87">
        <w:rPr>
          <w:rFonts w:ascii="Book Antiqua" w:hAnsi="Book Antiqua"/>
          <w:sz w:val="24"/>
          <w:szCs w:val="24"/>
        </w:rPr>
        <w:t xml:space="preserve"> 1, 2020</w:t>
      </w:r>
      <w:r w:rsidRPr="00EA7662">
        <w:rPr>
          <w:rFonts w:ascii="Book Antiqua" w:hAnsi="Book Antiqua"/>
          <w:sz w:val="24"/>
          <w:szCs w:val="24"/>
        </w:rPr>
        <w:t>.</w:t>
      </w:r>
      <w:bookmarkEnd w:id="4"/>
      <w:r w:rsidR="00EA7662">
        <w:rPr>
          <w:rStyle w:val="FootnoteReference"/>
          <w:rFonts w:ascii="Book Antiqua" w:hAnsi="Book Antiqua"/>
          <w:sz w:val="24"/>
          <w:szCs w:val="24"/>
        </w:rPr>
        <w:footnoteReference w:id="2"/>
      </w:r>
    </w:p>
    <w:p w14:paraId="4D8DE7A4" w14:textId="77777777" w:rsidR="00985295" w:rsidRDefault="00985295" w:rsidP="00985295">
      <w:pPr>
        <w:spacing w:line="240" w:lineRule="auto"/>
        <w:ind w:left="432" w:hanging="432"/>
        <w:rPr>
          <w:rFonts w:ascii="Book Antiqua" w:hAnsi="Book Antiqua"/>
          <w:sz w:val="24"/>
          <w:szCs w:val="24"/>
        </w:rPr>
      </w:pPr>
    </w:p>
    <w:p w14:paraId="57FC4F6D" w14:textId="77777777" w:rsidR="00593B4B" w:rsidRDefault="00593B4B" w:rsidP="00885074">
      <w:pPr>
        <w:spacing w:line="240" w:lineRule="auto"/>
        <w:jc w:val="center"/>
        <w:rPr>
          <w:rFonts w:ascii="Book Antiqua" w:hAnsi="Book Antiqua"/>
          <w:b/>
          <w:sz w:val="24"/>
          <w:szCs w:val="24"/>
          <w:u w:val="single"/>
        </w:rPr>
      </w:pPr>
      <w:r>
        <w:rPr>
          <w:rFonts w:ascii="Book Antiqua" w:hAnsi="Book Antiqua"/>
          <w:b/>
          <w:sz w:val="24"/>
          <w:szCs w:val="24"/>
          <w:u w:val="single"/>
        </w:rPr>
        <w:t>BACKGROUND</w:t>
      </w:r>
    </w:p>
    <w:p w14:paraId="057FE211" w14:textId="77777777" w:rsidR="008A622B" w:rsidRDefault="008A622B" w:rsidP="00F876F9">
      <w:pPr>
        <w:spacing w:line="240" w:lineRule="auto"/>
        <w:ind w:left="432" w:hanging="432"/>
        <w:rPr>
          <w:rFonts w:ascii="Book Antiqua" w:hAnsi="Book Antiqua"/>
          <w:sz w:val="24"/>
          <w:szCs w:val="24"/>
        </w:rPr>
      </w:pPr>
    </w:p>
    <w:p w14:paraId="1E77EEAE" w14:textId="79BD1837" w:rsidR="00C9524E" w:rsidRDefault="00053807"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On January 30, 2020, the PUC set a LEAC factor of $.134474/kWh for meters read on or after February 1, 2020</w:t>
      </w:r>
      <w:r w:rsidR="00950393">
        <w:rPr>
          <w:rFonts w:ascii="Book Antiqua" w:hAnsi="Book Antiqua"/>
          <w:sz w:val="24"/>
          <w:szCs w:val="24"/>
        </w:rPr>
        <w:t>.</w:t>
      </w:r>
      <w:r w:rsidR="00950393">
        <w:rPr>
          <w:rStyle w:val="FootnoteReference"/>
          <w:rFonts w:ascii="Book Antiqua" w:hAnsi="Book Antiqua"/>
          <w:sz w:val="24"/>
          <w:szCs w:val="24"/>
        </w:rPr>
        <w:footnoteReference w:id="3"/>
      </w:r>
      <w:r>
        <w:rPr>
          <w:rFonts w:ascii="Book Antiqua" w:hAnsi="Book Antiqua"/>
          <w:sz w:val="24"/>
          <w:szCs w:val="24"/>
        </w:rPr>
        <w:t xml:space="preserve">  That factor would normally remain in effect for a six-month period, or until July 31, 2020.</w:t>
      </w:r>
    </w:p>
    <w:p w14:paraId="6656DC2E" w14:textId="77777777" w:rsidR="00053807" w:rsidRDefault="00053807" w:rsidP="00053807">
      <w:pPr>
        <w:pStyle w:val="ListParagraph"/>
        <w:spacing w:line="240" w:lineRule="auto"/>
        <w:ind w:left="432"/>
        <w:rPr>
          <w:rFonts w:ascii="Book Antiqua" w:hAnsi="Book Antiqua"/>
          <w:sz w:val="24"/>
          <w:szCs w:val="24"/>
        </w:rPr>
      </w:pPr>
    </w:p>
    <w:p w14:paraId="59C871A8" w14:textId="706FCDC6" w:rsidR="00053807" w:rsidRDefault="006D0DB2"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However, GPA Rate Tariff, Rate Schedule “Z”, provides: “In the event that GPA has a cumulative under [or over] recovery balance of more than $2 million or if the under [over] recovery balance is projected to exceed $2 million during the six-month levelized period…..the Fuel Recovery Charge may be adjusted to recover such deficit, subject to PUC approval.”</w:t>
      </w:r>
      <w:r>
        <w:rPr>
          <w:rStyle w:val="FootnoteReference"/>
          <w:rFonts w:ascii="Book Antiqua" w:hAnsi="Book Antiqua"/>
          <w:sz w:val="24"/>
          <w:szCs w:val="24"/>
        </w:rPr>
        <w:footnoteReference w:id="4"/>
      </w:r>
    </w:p>
    <w:p w14:paraId="0C360EE2" w14:textId="77777777" w:rsidR="006D0DB2" w:rsidRDefault="006D0DB2" w:rsidP="006D0DB2">
      <w:pPr>
        <w:pStyle w:val="ListParagraph"/>
        <w:spacing w:line="240" w:lineRule="auto"/>
        <w:ind w:left="432"/>
        <w:rPr>
          <w:rFonts w:ascii="Book Antiqua" w:hAnsi="Book Antiqua"/>
          <w:sz w:val="24"/>
          <w:szCs w:val="24"/>
        </w:rPr>
      </w:pPr>
    </w:p>
    <w:p w14:paraId="076CB531" w14:textId="1CB4B33E" w:rsidR="006D0DB2" w:rsidRDefault="006D0DB2"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 xml:space="preserve">GPA </w:t>
      </w:r>
      <w:r w:rsidR="00C14443">
        <w:rPr>
          <w:rFonts w:ascii="Book Antiqua" w:hAnsi="Book Antiqua"/>
          <w:sz w:val="24"/>
          <w:szCs w:val="24"/>
        </w:rPr>
        <w:t xml:space="preserve">indicates that the basis for its interim LEAC adjustment request </w:t>
      </w:r>
      <w:r w:rsidR="0057277D">
        <w:rPr>
          <w:rFonts w:ascii="Book Antiqua" w:hAnsi="Book Antiqua"/>
          <w:sz w:val="24"/>
          <w:szCs w:val="24"/>
        </w:rPr>
        <w:t>is that “the average market price of residual fuel oil and diesel to be used in the current period was approved at $59.14/</w:t>
      </w:r>
      <w:proofErr w:type="spellStart"/>
      <w:r w:rsidR="0057277D">
        <w:rPr>
          <w:rFonts w:ascii="Book Antiqua" w:hAnsi="Book Antiqua"/>
          <w:sz w:val="24"/>
          <w:szCs w:val="24"/>
        </w:rPr>
        <w:t>bbl</w:t>
      </w:r>
      <w:proofErr w:type="spellEnd"/>
      <w:r w:rsidR="0057277D">
        <w:rPr>
          <w:rFonts w:ascii="Book Antiqua" w:hAnsi="Book Antiqua"/>
          <w:sz w:val="24"/>
          <w:szCs w:val="24"/>
        </w:rPr>
        <w:t xml:space="preserve"> and the current projection for April 1, 2020 to July 31, </w:t>
      </w:r>
      <w:r w:rsidR="0057277D">
        <w:rPr>
          <w:rFonts w:ascii="Book Antiqua" w:hAnsi="Book Antiqua"/>
          <w:sz w:val="24"/>
          <w:szCs w:val="24"/>
        </w:rPr>
        <w:lastRenderedPageBreak/>
        <w:t>2020, is $53.42/bbl.  The project under-recovery is expected to decrease to zero by July 31, 2020.”</w:t>
      </w:r>
      <w:r w:rsidR="0057277D">
        <w:rPr>
          <w:rStyle w:val="FootnoteReference"/>
          <w:rFonts w:ascii="Book Antiqua" w:hAnsi="Book Antiqua"/>
          <w:sz w:val="24"/>
          <w:szCs w:val="24"/>
        </w:rPr>
        <w:footnoteReference w:id="5"/>
      </w:r>
    </w:p>
    <w:p w14:paraId="68511F9B" w14:textId="77777777" w:rsidR="00FB2903" w:rsidRDefault="00FB2903" w:rsidP="00FB2903">
      <w:pPr>
        <w:pStyle w:val="ListParagraph"/>
        <w:spacing w:line="240" w:lineRule="auto"/>
        <w:ind w:left="432"/>
        <w:rPr>
          <w:rFonts w:ascii="Book Antiqua" w:hAnsi="Book Antiqua"/>
          <w:sz w:val="24"/>
          <w:szCs w:val="24"/>
        </w:rPr>
      </w:pPr>
    </w:p>
    <w:p w14:paraId="7ECF72A2" w14:textId="4288C72A" w:rsidR="00A73C32" w:rsidRDefault="00FB2903"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 xml:space="preserve">The </w:t>
      </w:r>
      <w:r w:rsidR="00FE51DD">
        <w:rPr>
          <w:rFonts w:ascii="Book Antiqua" w:hAnsi="Book Antiqua"/>
          <w:sz w:val="24"/>
          <w:szCs w:val="24"/>
        </w:rPr>
        <w:t xml:space="preserve">current </w:t>
      </w:r>
      <w:r>
        <w:rPr>
          <w:rFonts w:ascii="Book Antiqua" w:hAnsi="Book Antiqua"/>
          <w:sz w:val="24"/>
          <w:szCs w:val="24"/>
        </w:rPr>
        <w:t>under-recovery balance</w:t>
      </w:r>
      <w:r w:rsidR="00FE51DD">
        <w:rPr>
          <w:rFonts w:ascii="Book Antiqua" w:hAnsi="Book Antiqua"/>
          <w:sz w:val="24"/>
          <w:szCs w:val="24"/>
        </w:rPr>
        <w:t xml:space="preserve"> is about $1M</w:t>
      </w:r>
      <w:r>
        <w:rPr>
          <w:rFonts w:ascii="Book Antiqua" w:hAnsi="Book Antiqua"/>
          <w:sz w:val="24"/>
          <w:szCs w:val="24"/>
        </w:rPr>
        <w:t>.</w:t>
      </w:r>
      <w:r>
        <w:rPr>
          <w:rStyle w:val="FootnoteReference"/>
          <w:rFonts w:ascii="Book Antiqua" w:hAnsi="Book Antiqua"/>
          <w:sz w:val="24"/>
          <w:szCs w:val="24"/>
        </w:rPr>
        <w:footnoteReference w:id="6"/>
      </w:r>
      <w:r w:rsidR="0035127D">
        <w:rPr>
          <w:rFonts w:ascii="Book Antiqua" w:hAnsi="Book Antiqua"/>
          <w:sz w:val="24"/>
          <w:szCs w:val="24"/>
        </w:rPr>
        <w:t xml:space="preserve">  </w:t>
      </w:r>
    </w:p>
    <w:p w14:paraId="144D787E" w14:textId="77777777" w:rsidR="00F1404B" w:rsidRDefault="00F1404B" w:rsidP="00F1404B">
      <w:pPr>
        <w:pStyle w:val="ListParagraph"/>
        <w:spacing w:line="240" w:lineRule="auto"/>
        <w:ind w:left="432"/>
        <w:rPr>
          <w:rFonts w:ascii="Book Antiqua" w:hAnsi="Book Antiqua"/>
          <w:sz w:val="24"/>
          <w:szCs w:val="24"/>
        </w:rPr>
      </w:pPr>
    </w:p>
    <w:p w14:paraId="1FA2C5BE" w14:textId="3A326E88" w:rsidR="00F1404B" w:rsidRDefault="00F1404B"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In Resolution No. 2020-06, the Guam Consolidated Commission on Utilities approved GPA’s request to set an Interim LEAC Factor Rate and authorized GPA to petition the PUC.</w:t>
      </w:r>
      <w:r>
        <w:rPr>
          <w:rStyle w:val="FootnoteReference"/>
          <w:rFonts w:ascii="Book Antiqua" w:hAnsi="Book Antiqua"/>
          <w:sz w:val="24"/>
          <w:szCs w:val="24"/>
        </w:rPr>
        <w:footnoteReference w:id="7"/>
      </w:r>
    </w:p>
    <w:p w14:paraId="47E04461" w14:textId="77777777" w:rsidR="00A73C32" w:rsidRDefault="00A73C32" w:rsidP="00A73C32">
      <w:pPr>
        <w:pStyle w:val="ListParagraph"/>
        <w:spacing w:line="240" w:lineRule="auto"/>
        <w:ind w:left="432"/>
        <w:rPr>
          <w:rFonts w:ascii="Book Antiqua" w:hAnsi="Book Antiqua"/>
          <w:sz w:val="24"/>
          <w:szCs w:val="24"/>
        </w:rPr>
      </w:pPr>
    </w:p>
    <w:p w14:paraId="02904E1A" w14:textId="0C35AC8E" w:rsidR="00171E84" w:rsidRDefault="00D82AE9" w:rsidP="00B01E77">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t>DETERMINATIONS</w:t>
      </w:r>
    </w:p>
    <w:p w14:paraId="475DD511" w14:textId="77777777" w:rsidR="007A7722" w:rsidRDefault="007A7722" w:rsidP="00B01E77">
      <w:pPr>
        <w:spacing w:line="240" w:lineRule="auto"/>
        <w:ind w:left="432" w:hanging="432"/>
        <w:jc w:val="center"/>
        <w:rPr>
          <w:rFonts w:ascii="Book Antiqua" w:hAnsi="Book Antiqua"/>
          <w:b/>
          <w:sz w:val="24"/>
          <w:szCs w:val="24"/>
          <w:u w:val="single"/>
        </w:rPr>
      </w:pPr>
    </w:p>
    <w:p w14:paraId="2B2AB467" w14:textId="2FED940C" w:rsidR="00457287" w:rsidRPr="00457287" w:rsidRDefault="00457287" w:rsidP="00457287">
      <w:pPr>
        <w:spacing w:line="240" w:lineRule="auto"/>
        <w:ind w:left="432" w:hanging="432"/>
        <w:rPr>
          <w:rFonts w:ascii="Book Antiqua" w:hAnsi="Book Antiqua"/>
          <w:bCs/>
          <w:sz w:val="24"/>
          <w:szCs w:val="24"/>
        </w:rPr>
      </w:pPr>
      <w:r>
        <w:rPr>
          <w:rFonts w:ascii="Book Antiqua" w:hAnsi="Book Antiqua"/>
          <w:bCs/>
          <w:sz w:val="24"/>
          <w:szCs w:val="24"/>
        </w:rPr>
        <w:t>8.</w:t>
      </w:r>
      <w:r>
        <w:rPr>
          <w:rFonts w:ascii="Book Antiqua" w:hAnsi="Book Antiqua"/>
          <w:bCs/>
          <w:sz w:val="24"/>
          <w:szCs w:val="24"/>
        </w:rPr>
        <w:tab/>
        <w:t>CCU resolution No. 2020-08 recognizes that GPA may petition PUC for an Interim LEAC rate “if the over recovery balance is projected to exceed $2 million during the six-month levelized period.</w:t>
      </w:r>
      <w:r>
        <w:rPr>
          <w:rStyle w:val="FootnoteReference"/>
          <w:rFonts w:ascii="Book Antiqua" w:hAnsi="Book Antiqua"/>
          <w:bCs/>
          <w:sz w:val="24"/>
          <w:szCs w:val="24"/>
        </w:rPr>
        <w:footnoteReference w:id="8"/>
      </w:r>
      <w:r>
        <w:rPr>
          <w:rFonts w:ascii="Book Antiqua" w:hAnsi="Book Antiqua"/>
          <w:bCs/>
          <w:sz w:val="24"/>
          <w:szCs w:val="24"/>
        </w:rPr>
        <w:t xml:space="preserve"> GPA takes the position that its over-recovery balance will exceed $2 million </w:t>
      </w:r>
      <w:r w:rsidR="00671C6B">
        <w:rPr>
          <w:rFonts w:ascii="Book Antiqua" w:hAnsi="Book Antiqua"/>
          <w:bCs/>
          <w:sz w:val="24"/>
          <w:szCs w:val="24"/>
        </w:rPr>
        <w:t>during the current six-month</w:t>
      </w:r>
      <w:r>
        <w:rPr>
          <w:rFonts w:ascii="Book Antiqua" w:hAnsi="Book Antiqua"/>
          <w:bCs/>
          <w:sz w:val="24"/>
          <w:szCs w:val="24"/>
        </w:rPr>
        <w:t>.</w:t>
      </w:r>
    </w:p>
    <w:p w14:paraId="2D0C8BC6" w14:textId="555B001F" w:rsidR="00BD53C4" w:rsidRDefault="00BD53C4" w:rsidP="00B01E77">
      <w:pPr>
        <w:spacing w:line="240" w:lineRule="auto"/>
        <w:ind w:left="432" w:hanging="432"/>
        <w:jc w:val="center"/>
        <w:rPr>
          <w:rFonts w:ascii="Book Antiqua" w:hAnsi="Book Antiqua"/>
          <w:b/>
          <w:sz w:val="24"/>
          <w:szCs w:val="24"/>
          <w:u w:val="single"/>
        </w:rPr>
      </w:pPr>
    </w:p>
    <w:p w14:paraId="274FC934"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9.    </w:t>
      </w:r>
      <w:r w:rsidR="00457287">
        <w:rPr>
          <w:rFonts w:ascii="Book Antiqua" w:hAnsi="Book Antiqua"/>
          <w:bCs/>
          <w:sz w:val="24"/>
          <w:szCs w:val="24"/>
        </w:rPr>
        <w:t>T</w:t>
      </w:r>
      <w:r w:rsidR="001B67E5">
        <w:rPr>
          <w:rFonts w:ascii="Book Antiqua" w:hAnsi="Book Antiqua"/>
          <w:bCs/>
          <w:sz w:val="24"/>
          <w:szCs w:val="24"/>
        </w:rPr>
        <w:t xml:space="preserve">he calculation of the proper fuel pricing must be determined based upon the </w:t>
      </w:r>
    </w:p>
    <w:p w14:paraId="3B20A8C7"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1B67E5">
        <w:rPr>
          <w:rFonts w:ascii="Book Antiqua" w:hAnsi="Book Antiqua"/>
          <w:bCs/>
          <w:sz w:val="24"/>
          <w:szCs w:val="24"/>
        </w:rPr>
        <w:t>updated average of the Morgan Stanley Fuel Forecast prices for the five-day period</w:t>
      </w:r>
    </w:p>
    <w:p w14:paraId="449FA684" w14:textId="233C9DE5" w:rsidR="004E2C8E" w:rsidRPr="004E2C8E" w:rsidRDefault="000057B6" w:rsidP="000057B6">
      <w:pPr>
        <w:pStyle w:val="ListParagraph"/>
        <w:spacing w:line="240" w:lineRule="auto"/>
        <w:ind w:left="0"/>
        <w:rPr>
          <w:rFonts w:ascii="Book Antiqua" w:hAnsi="Book Antiqua"/>
          <w:b/>
          <w:sz w:val="24"/>
          <w:szCs w:val="24"/>
          <w:u w:val="single"/>
        </w:rPr>
      </w:pPr>
      <w:r>
        <w:rPr>
          <w:rFonts w:ascii="Book Antiqua" w:hAnsi="Book Antiqua"/>
          <w:bCs/>
          <w:sz w:val="24"/>
          <w:szCs w:val="24"/>
        </w:rPr>
        <w:t xml:space="preserve">       </w:t>
      </w:r>
      <w:r w:rsidR="001B67E5">
        <w:rPr>
          <w:rFonts w:ascii="Book Antiqua" w:hAnsi="Book Antiqua"/>
          <w:bCs/>
          <w:sz w:val="24"/>
          <w:szCs w:val="24"/>
        </w:rPr>
        <w:t xml:space="preserve"> occurring ten days before the PUC </w:t>
      </w:r>
      <w:r w:rsidR="00457287">
        <w:rPr>
          <w:rFonts w:ascii="Book Antiqua" w:hAnsi="Book Antiqua"/>
          <w:bCs/>
          <w:sz w:val="24"/>
          <w:szCs w:val="24"/>
        </w:rPr>
        <w:t>March 26</w:t>
      </w:r>
      <w:r w:rsidR="001B67E5">
        <w:rPr>
          <w:rFonts w:ascii="Book Antiqua" w:hAnsi="Book Antiqua"/>
          <w:bCs/>
          <w:sz w:val="24"/>
          <w:szCs w:val="24"/>
        </w:rPr>
        <w:t xml:space="preserve">, 2020, meeting date. </w:t>
      </w:r>
    </w:p>
    <w:p w14:paraId="66F86EBC" w14:textId="77777777" w:rsidR="004E2C8E" w:rsidRPr="004E2C8E" w:rsidRDefault="004E2C8E" w:rsidP="004E2C8E">
      <w:pPr>
        <w:pStyle w:val="ListParagraph"/>
        <w:spacing w:line="240" w:lineRule="auto"/>
        <w:ind w:left="432"/>
        <w:rPr>
          <w:rFonts w:ascii="Book Antiqua" w:hAnsi="Book Antiqua"/>
          <w:b/>
          <w:sz w:val="24"/>
          <w:szCs w:val="24"/>
          <w:u w:val="single"/>
        </w:rPr>
      </w:pPr>
    </w:p>
    <w:p w14:paraId="336B24FD" w14:textId="235B5470"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10.    </w:t>
      </w:r>
      <w:r w:rsidR="00671C6B">
        <w:rPr>
          <w:rFonts w:ascii="Book Antiqua" w:hAnsi="Book Antiqua"/>
          <w:bCs/>
          <w:sz w:val="24"/>
          <w:szCs w:val="24"/>
        </w:rPr>
        <w:t xml:space="preserve">GPA has submitted the Morgan Stanley Asian Morning Call fuel pricing for the </w:t>
      </w:r>
    </w:p>
    <w:p w14:paraId="5E90EBD0"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671C6B">
        <w:rPr>
          <w:rFonts w:ascii="Book Antiqua" w:hAnsi="Book Antiqua"/>
          <w:bCs/>
          <w:sz w:val="24"/>
          <w:szCs w:val="24"/>
        </w:rPr>
        <w:t xml:space="preserve">five-day period of March 12, 2020, through March 18, 2020, indicating that fuel </w:t>
      </w:r>
    </w:p>
    <w:p w14:paraId="6E254319"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671C6B">
        <w:rPr>
          <w:rFonts w:ascii="Book Antiqua" w:hAnsi="Book Antiqua"/>
          <w:bCs/>
          <w:sz w:val="24"/>
          <w:szCs w:val="24"/>
        </w:rPr>
        <w:t xml:space="preserve">prices have fallen since the last LEAC factor was approved by the PUC, effective </w:t>
      </w:r>
    </w:p>
    <w:p w14:paraId="438BD2C7" w14:textId="19FD3EB5" w:rsidR="00821394" w:rsidRPr="004E2C8E" w:rsidRDefault="000057B6" w:rsidP="000057B6">
      <w:pPr>
        <w:pStyle w:val="ListParagraph"/>
        <w:spacing w:line="240" w:lineRule="auto"/>
        <w:ind w:left="0"/>
        <w:rPr>
          <w:rFonts w:ascii="Book Antiqua" w:hAnsi="Book Antiqua"/>
          <w:b/>
          <w:sz w:val="24"/>
          <w:szCs w:val="24"/>
          <w:u w:val="single"/>
        </w:rPr>
      </w:pPr>
      <w:r>
        <w:rPr>
          <w:rFonts w:ascii="Book Antiqua" w:hAnsi="Book Antiqua"/>
          <w:bCs/>
          <w:sz w:val="24"/>
          <w:szCs w:val="24"/>
        </w:rPr>
        <w:t xml:space="preserve">        </w:t>
      </w:r>
      <w:r w:rsidR="00671C6B">
        <w:rPr>
          <w:rFonts w:ascii="Book Antiqua" w:hAnsi="Book Antiqua"/>
          <w:bCs/>
          <w:sz w:val="24"/>
          <w:szCs w:val="24"/>
        </w:rPr>
        <w:t>February 1, 2020.</w:t>
      </w:r>
      <w:r w:rsidR="00B17CD7">
        <w:rPr>
          <w:rStyle w:val="FootnoteReference"/>
          <w:rFonts w:ascii="Book Antiqua" w:hAnsi="Book Antiqua"/>
          <w:bCs/>
          <w:sz w:val="24"/>
          <w:szCs w:val="24"/>
        </w:rPr>
        <w:footnoteReference w:id="9"/>
      </w:r>
    </w:p>
    <w:p w14:paraId="319F241C" w14:textId="77777777" w:rsidR="004E2C8E" w:rsidRPr="004E2C8E" w:rsidRDefault="004E2C8E" w:rsidP="004E2C8E">
      <w:pPr>
        <w:pStyle w:val="ListParagraph"/>
        <w:spacing w:line="240" w:lineRule="auto"/>
        <w:ind w:left="432"/>
        <w:rPr>
          <w:rFonts w:ascii="Book Antiqua" w:hAnsi="Book Antiqua"/>
          <w:b/>
          <w:sz w:val="24"/>
          <w:szCs w:val="24"/>
          <w:u w:val="single"/>
        </w:rPr>
      </w:pPr>
    </w:p>
    <w:p w14:paraId="61D70F68"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11.   </w:t>
      </w:r>
      <w:r w:rsidR="004E2C8E">
        <w:rPr>
          <w:rFonts w:ascii="Book Antiqua" w:hAnsi="Book Antiqua"/>
          <w:bCs/>
          <w:sz w:val="24"/>
          <w:szCs w:val="24"/>
        </w:rPr>
        <w:t>GPA has produced a chart in its filing: “LEAC Update—GPA Fuel Purchases (Per</w:t>
      </w:r>
    </w:p>
    <w:p w14:paraId="7F806105"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4E2C8E">
        <w:rPr>
          <w:rFonts w:ascii="Book Antiqua" w:hAnsi="Book Antiqua"/>
          <w:bCs/>
          <w:sz w:val="24"/>
          <w:szCs w:val="24"/>
        </w:rPr>
        <w:t xml:space="preserve"> Barrel).  That chart indicates that its price per barrel as of February 20, 2020, was </w:t>
      </w:r>
    </w:p>
    <w:p w14:paraId="5D4684CE"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4E2C8E">
        <w:rPr>
          <w:rFonts w:ascii="Book Antiqua" w:hAnsi="Book Antiqua"/>
          <w:bCs/>
          <w:sz w:val="24"/>
          <w:szCs w:val="24"/>
        </w:rPr>
        <w:t xml:space="preserve">$55.47.  The fuel price on March 20 was $51.75, and the projected price by April 20, </w:t>
      </w:r>
    </w:p>
    <w:p w14:paraId="0D0C3868" w14:textId="306F4A42" w:rsidR="004E2C8E" w:rsidRPr="004E2C8E" w:rsidRDefault="000057B6" w:rsidP="000057B6">
      <w:pPr>
        <w:pStyle w:val="ListParagraph"/>
        <w:spacing w:line="240" w:lineRule="auto"/>
        <w:ind w:left="0"/>
        <w:rPr>
          <w:rFonts w:ascii="Book Antiqua" w:hAnsi="Book Antiqua"/>
          <w:b/>
          <w:sz w:val="24"/>
          <w:szCs w:val="24"/>
          <w:u w:val="single"/>
        </w:rPr>
      </w:pPr>
      <w:r>
        <w:rPr>
          <w:rFonts w:ascii="Book Antiqua" w:hAnsi="Book Antiqua"/>
          <w:bCs/>
          <w:sz w:val="24"/>
          <w:szCs w:val="24"/>
        </w:rPr>
        <w:t xml:space="preserve">        </w:t>
      </w:r>
      <w:r w:rsidR="004E2C8E">
        <w:rPr>
          <w:rFonts w:ascii="Book Antiqua" w:hAnsi="Book Antiqua"/>
          <w:bCs/>
          <w:sz w:val="24"/>
          <w:szCs w:val="24"/>
        </w:rPr>
        <w:t xml:space="preserve">2020 </w:t>
      </w:r>
      <w:r w:rsidR="007A7722">
        <w:rPr>
          <w:rFonts w:ascii="Book Antiqua" w:hAnsi="Book Antiqua"/>
          <w:bCs/>
          <w:sz w:val="24"/>
          <w:szCs w:val="24"/>
        </w:rPr>
        <w:t>will be</w:t>
      </w:r>
      <w:r w:rsidR="004E2C8E">
        <w:rPr>
          <w:rFonts w:ascii="Book Antiqua" w:hAnsi="Book Antiqua"/>
          <w:bCs/>
          <w:sz w:val="24"/>
          <w:szCs w:val="24"/>
        </w:rPr>
        <w:t xml:space="preserve"> $37.62.</w:t>
      </w:r>
    </w:p>
    <w:p w14:paraId="2A793B1B" w14:textId="77777777" w:rsidR="004E2C8E" w:rsidRPr="004E2C8E" w:rsidRDefault="004E2C8E" w:rsidP="004E2C8E">
      <w:pPr>
        <w:pStyle w:val="ListParagraph"/>
        <w:spacing w:line="240" w:lineRule="auto"/>
        <w:ind w:left="432"/>
        <w:rPr>
          <w:rFonts w:ascii="Book Antiqua" w:hAnsi="Book Antiqua"/>
          <w:b/>
          <w:sz w:val="24"/>
          <w:szCs w:val="24"/>
          <w:u w:val="single"/>
        </w:rPr>
      </w:pPr>
    </w:p>
    <w:p w14:paraId="40F27D8D"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12.   </w:t>
      </w:r>
      <w:r w:rsidR="00F52573">
        <w:rPr>
          <w:rFonts w:ascii="Book Antiqua" w:hAnsi="Book Antiqua"/>
          <w:bCs/>
          <w:sz w:val="24"/>
          <w:szCs w:val="24"/>
        </w:rPr>
        <w:t xml:space="preserve">It is evident that a reduction in the LEAC factor is warranted at the present time.  </w:t>
      </w:r>
    </w:p>
    <w:p w14:paraId="1089D07C" w14:textId="77777777"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F52573">
        <w:rPr>
          <w:rFonts w:ascii="Book Antiqua" w:hAnsi="Book Antiqua"/>
          <w:bCs/>
          <w:sz w:val="24"/>
          <w:szCs w:val="24"/>
        </w:rPr>
        <w:t xml:space="preserve">Attached </w:t>
      </w:r>
      <w:r>
        <w:rPr>
          <w:rFonts w:ascii="Book Antiqua" w:hAnsi="Book Antiqua"/>
          <w:bCs/>
          <w:sz w:val="24"/>
          <w:szCs w:val="24"/>
        </w:rPr>
        <w:t>to the ALJ Report</w:t>
      </w:r>
      <w:r w:rsidR="00F52573">
        <w:rPr>
          <w:rFonts w:ascii="Book Antiqua" w:hAnsi="Book Antiqua"/>
          <w:bCs/>
          <w:sz w:val="24"/>
          <w:szCs w:val="24"/>
        </w:rPr>
        <w:t xml:space="preserve"> as Exhibit A is GPA’s calculation indicated that the </w:t>
      </w:r>
    </w:p>
    <w:p w14:paraId="746B5988" w14:textId="6180F07A" w:rsidR="000057B6" w:rsidRDefault="000057B6" w:rsidP="000057B6">
      <w:pPr>
        <w:pStyle w:val="ListParagraph"/>
        <w:spacing w:line="240" w:lineRule="auto"/>
        <w:ind w:left="0"/>
        <w:rPr>
          <w:rFonts w:ascii="Book Antiqua" w:hAnsi="Book Antiqua"/>
          <w:bCs/>
          <w:sz w:val="24"/>
          <w:szCs w:val="24"/>
        </w:rPr>
      </w:pPr>
      <w:r>
        <w:rPr>
          <w:rFonts w:ascii="Book Antiqua" w:hAnsi="Book Antiqua"/>
          <w:bCs/>
          <w:sz w:val="24"/>
          <w:szCs w:val="24"/>
        </w:rPr>
        <w:t xml:space="preserve">        </w:t>
      </w:r>
      <w:r w:rsidR="00F52573">
        <w:rPr>
          <w:rFonts w:ascii="Book Antiqua" w:hAnsi="Book Antiqua"/>
          <w:bCs/>
          <w:sz w:val="24"/>
          <w:szCs w:val="24"/>
        </w:rPr>
        <w:t>LEAC Factor</w:t>
      </w:r>
      <w:r>
        <w:rPr>
          <w:rFonts w:ascii="Book Antiqua" w:hAnsi="Book Antiqua"/>
          <w:b/>
          <w:sz w:val="24"/>
          <w:szCs w:val="24"/>
          <w:u w:val="single"/>
        </w:rPr>
        <w:t xml:space="preserve"> </w:t>
      </w:r>
      <w:r w:rsidR="00452569" w:rsidRPr="000057B6">
        <w:rPr>
          <w:rFonts w:ascii="Book Antiqua" w:hAnsi="Book Antiqua"/>
          <w:bCs/>
          <w:sz w:val="24"/>
          <w:szCs w:val="24"/>
        </w:rPr>
        <w:t>s</w:t>
      </w:r>
      <w:r w:rsidR="00F52573" w:rsidRPr="000057B6">
        <w:rPr>
          <w:rFonts w:ascii="Book Antiqua" w:hAnsi="Book Antiqua"/>
          <w:bCs/>
          <w:sz w:val="24"/>
          <w:szCs w:val="24"/>
        </w:rPr>
        <w:t xml:space="preserve">hould be changed to </w:t>
      </w:r>
      <w:bookmarkStart w:id="5" w:name="_Hlk36103014"/>
      <w:r w:rsidR="00F52573" w:rsidRPr="000057B6">
        <w:rPr>
          <w:rFonts w:ascii="Book Antiqua" w:hAnsi="Book Antiqua"/>
          <w:bCs/>
          <w:sz w:val="24"/>
          <w:szCs w:val="24"/>
        </w:rPr>
        <w:t xml:space="preserve">$.110039/kWh </w:t>
      </w:r>
      <w:bookmarkEnd w:id="5"/>
      <w:r w:rsidR="00F52573" w:rsidRPr="000057B6">
        <w:rPr>
          <w:rFonts w:ascii="Book Antiqua" w:hAnsi="Book Antiqua"/>
          <w:bCs/>
          <w:sz w:val="24"/>
          <w:szCs w:val="24"/>
        </w:rPr>
        <w:t xml:space="preserve">for </w:t>
      </w:r>
      <w:bookmarkStart w:id="6" w:name="_Hlk36103041"/>
      <w:r w:rsidR="00F52573" w:rsidRPr="000057B6">
        <w:rPr>
          <w:rFonts w:ascii="Book Antiqua" w:hAnsi="Book Antiqua"/>
          <w:bCs/>
          <w:sz w:val="24"/>
          <w:szCs w:val="24"/>
        </w:rPr>
        <w:t>meters read on or after April</w:t>
      </w:r>
    </w:p>
    <w:p w14:paraId="60385F09" w14:textId="2A967274" w:rsidR="00F52573" w:rsidRPr="000057B6" w:rsidRDefault="000057B6" w:rsidP="000057B6">
      <w:pPr>
        <w:pStyle w:val="ListParagraph"/>
        <w:spacing w:line="240" w:lineRule="auto"/>
        <w:ind w:left="0"/>
        <w:rPr>
          <w:rFonts w:ascii="Book Antiqua" w:hAnsi="Book Antiqua"/>
          <w:b/>
          <w:sz w:val="24"/>
          <w:szCs w:val="24"/>
          <w:u w:val="single"/>
        </w:rPr>
      </w:pPr>
      <w:r>
        <w:rPr>
          <w:rFonts w:ascii="Book Antiqua" w:hAnsi="Book Antiqua"/>
          <w:bCs/>
          <w:sz w:val="24"/>
          <w:szCs w:val="24"/>
        </w:rPr>
        <w:t xml:space="preserve">        </w:t>
      </w:r>
      <w:r w:rsidR="00F52573" w:rsidRPr="000057B6">
        <w:rPr>
          <w:rFonts w:ascii="Book Antiqua" w:hAnsi="Book Antiqua"/>
          <w:bCs/>
          <w:sz w:val="24"/>
          <w:szCs w:val="24"/>
        </w:rPr>
        <w:t>1, 2020.</w:t>
      </w:r>
    </w:p>
    <w:p w14:paraId="771B4BE7" w14:textId="77777777" w:rsidR="00831A4B" w:rsidRPr="00821394" w:rsidRDefault="00831A4B" w:rsidP="00831A4B">
      <w:pPr>
        <w:pStyle w:val="ListParagraph"/>
        <w:spacing w:line="240" w:lineRule="auto"/>
        <w:ind w:left="432"/>
        <w:rPr>
          <w:rFonts w:ascii="Book Antiqua" w:hAnsi="Book Antiqua"/>
          <w:b/>
          <w:sz w:val="24"/>
          <w:szCs w:val="24"/>
          <w:u w:val="single"/>
        </w:rPr>
      </w:pPr>
    </w:p>
    <w:bookmarkEnd w:id="6"/>
    <w:p w14:paraId="1D961A2E" w14:textId="77777777" w:rsidR="009F1FB1" w:rsidRDefault="009F1FB1" w:rsidP="009F1FB1">
      <w:pPr>
        <w:spacing w:line="240" w:lineRule="auto"/>
        <w:ind w:left="432" w:hanging="432"/>
        <w:jc w:val="center"/>
        <w:rPr>
          <w:rFonts w:ascii="Book Antiqua" w:hAnsi="Book Antiqua"/>
          <w:b/>
          <w:sz w:val="24"/>
          <w:szCs w:val="24"/>
          <w:u w:val="single"/>
        </w:rPr>
      </w:pPr>
    </w:p>
    <w:p w14:paraId="72C0F87F" w14:textId="013D0930" w:rsidR="009F1FB1" w:rsidRDefault="009F1FB1" w:rsidP="009F1FB1">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t>ORDERING PROVISIONS</w:t>
      </w:r>
    </w:p>
    <w:p w14:paraId="4D6B13AA" w14:textId="77777777" w:rsidR="009F1FB1" w:rsidRDefault="009F1FB1" w:rsidP="009F1FB1">
      <w:pPr>
        <w:spacing w:line="240" w:lineRule="auto"/>
        <w:ind w:left="432" w:hanging="432"/>
        <w:rPr>
          <w:rFonts w:ascii="Book Antiqua" w:hAnsi="Book Antiqua"/>
          <w:bCs/>
          <w:sz w:val="24"/>
          <w:szCs w:val="24"/>
        </w:rPr>
      </w:pPr>
    </w:p>
    <w:p w14:paraId="0145E2F9" w14:textId="23D29FAC" w:rsidR="009F1FB1" w:rsidRPr="009F1FB1" w:rsidRDefault="009F1FB1" w:rsidP="009F1FB1">
      <w:pPr>
        <w:spacing w:line="240" w:lineRule="auto"/>
        <w:ind w:left="432" w:hanging="432"/>
        <w:rPr>
          <w:rFonts w:ascii="Book Antiqua" w:hAnsi="Book Antiqua"/>
          <w:bCs/>
          <w:sz w:val="24"/>
          <w:szCs w:val="24"/>
        </w:rPr>
      </w:pPr>
      <w:r>
        <w:rPr>
          <w:rFonts w:ascii="Book Antiqua" w:hAnsi="Book Antiqua"/>
          <w:bCs/>
          <w:sz w:val="24"/>
          <w:szCs w:val="24"/>
        </w:rPr>
        <w:tab/>
      </w:r>
      <w:r w:rsidRPr="009F1FB1">
        <w:rPr>
          <w:rFonts w:ascii="Book Antiqua" w:hAnsi="Book Antiqua"/>
          <w:bCs/>
          <w:sz w:val="24"/>
          <w:szCs w:val="24"/>
        </w:rPr>
        <w:t xml:space="preserve">After carefully reviewing the record in this proceeding, having considered the </w:t>
      </w:r>
      <w:r>
        <w:rPr>
          <w:rFonts w:ascii="Book Antiqua" w:hAnsi="Book Antiqua"/>
          <w:bCs/>
          <w:sz w:val="24"/>
          <w:szCs w:val="24"/>
        </w:rPr>
        <w:t xml:space="preserve">Interim </w:t>
      </w:r>
      <w:r w:rsidRPr="009F1FB1">
        <w:rPr>
          <w:rFonts w:ascii="Book Antiqua" w:hAnsi="Book Antiqua"/>
          <w:bCs/>
          <w:sz w:val="24"/>
          <w:szCs w:val="24"/>
        </w:rPr>
        <w:t xml:space="preserve">LEAC Filing of GPA and the PUC Administrative Law Judge Report, and after discussion at a duly noticed regular meeting held on </w:t>
      </w:r>
      <w:r>
        <w:rPr>
          <w:rFonts w:ascii="Book Antiqua" w:hAnsi="Book Antiqua"/>
          <w:bCs/>
          <w:sz w:val="24"/>
          <w:szCs w:val="24"/>
        </w:rPr>
        <w:t>March 26, 2020</w:t>
      </w:r>
      <w:r w:rsidRPr="009F1FB1">
        <w:rPr>
          <w:rFonts w:ascii="Book Antiqua" w:hAnsi="Book Antiqua"/>
          <w:bCs/>
          <w:sz w:val="24"/>
          <w:szCs w:val="24"/>
        </w:rPr>
        <w:t>, for good cause shown and on motion duly made, seconded and carried by affirmative vote of the undersigned Commissioners, the Guam Public Utilities Commission hereby ORDERS that:</w:t>
      </w:r>
    </w:p>
    <w:p w14:paraId="712114F0" w14:textId="77777777" w:rsidR="009F1FB1" w:rsidRPr="009F1FB1" w:rsidRDefault="009F1FB1" w:rsidP="009F1FB1">
      <w:pPr>
        <w:spacing w:line="240" w:lineRule="auto"/>
        <w:ind w:left="432" w:hanging="432"/>
        <w:rPr>
          <w:rFonts w:ascii="Book Antiqua" w:hAnsi="Book Antiqua"/>
          <w:bCs/>
          <w:sz w:val="24"/>
          <w:szCs w:val="24"/>
        </w:rPr>
      </w:pPr>
    </w:p>
    <w:p w14:paraId="1D2D3B05" w14:textId="04A4039B"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1.</w:t>
      </w:r>
      <w:r w:rsidRPr="009F1FB1">
        <w:rPr>
          <w:rFonts w:ascii="Book Antiqua" w:hAnsi="Book Antiqua"/>
          <w:bCs/>
          <w:sz w:val="24"/>
          <w:szCs w:val="24"/>
        </w:rPr>
        <w:tab/>
        <w:t>The secondary Fuel Recovery Factor of $.1100</w:t>
      </w:r>
      <w:r w:rsidR="00532119">
        <w:rPr>
          <w:rFonts w:ascii="Book Antiqua" w:hAnsi="Book Antiqua"/>
          <w:bCs/>
          <w:sz w:val="24"/>
          <w:szCs w:val="24"/>
        </w:rPr>
        <w:t>39</w:t>
      </w:r>
      <w:r w:rsidRPr="009F1FB1">
        <w:rPr>
          <w:rFonts w:ascii="Book Antiqua" w:hAnsi="Book Antiqua"/>
          <w:bCs/>
          <w:sz w:val="24"/>
          <w:szCs w:val="24"/>
        </w:rPr>
        <w:t xml:space="preserve">/kWh shall be effective for meters read on or after </w:t>
      </w:r>
      <w:r>
        <w:rPr>
          <w:rFonts w:ascii="Book Antiqua" w:hAnsi="Book Antiqua"/>
          <w:bCs/>
          <w:sz w:val="24"/>
          <w:szCs w:val="24"/>
        </w:rPr>
        <w:t>April 1</w:t>
      </w:r>
      <w:r w:rsidRPr="009F1FB1">
        <w:rPr>
          <w:rFonts w:ascii="Book Antiqua" w:hAnsi="Book Antiqua"/>
          <w:bCs/>
          <w:sz w:val="24"/>
          <w:szCs w:val="24"/>
        </w:rPr>
        <w:t>, 2020.</w:t>
      </w:r>
    </w:p>
    <w:p w14:paraId="6B3DE92F" w14:textId="77777777" w:rsidR="009F1FB1" w:rsidRPr="009F1FB1" w:rsidRDefault="009F1FB1" w:rsidP="009F1FB1">
      <w:pPr>
        <w:spacing w:line="240" w:lineRule="auto"/>
        <w:ind w:left="432" w:hanging="432"/>
        <w:rPr>
          <w:rFonts w:ascii="Book Antiqua" w:hAnsi="Book Antiqua"/>
          <w:bCs/>
          <w:sz w:val="24"/>
          <w:szCs w:val="24"/>
        </w:rPr>
      </w:pPr>
    </w:p>
    <w:p w14:paraId="41279D05" w14:textId="75119786"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2.</w:t>
      </w:r>
      <w:r w:rsidRPr="009F1FB1">
        <w:rPr>
          <w:rFonts w:ascii="Book Antiqua" w:hAnsi="Book Antiqua"/>
          <w:bCs/>
          <w:sz w:val="24"/>
          <w:szCs w:val="24"/>
        </w:rPr>
        <w:tab/>
        <w:t xml:space="preserve">The current singular LEAC factors are hereby adjusted, effective </w:t>
      </w:r>
      <w:r>
        <w:rPr>
          <w:rFonts w:ascii="Book Antiqua" w:hAnsi="Book Antiqua"/>
          <w:bCs/>
          <w:sz w:val="24"/>
          <w:szCs w:val="24"/>
        </w:rPr>
        <w:t>April 1</w:t>
      </w:r>
      <w:r w:rsidRPr="009F1FB1">
        <w:rPr>
          <w:rFonts w:ascii="Book Antiqua" w:hAnsi="Book Antiqua"/>
          <w:bCs/>
          <w:sz w:val="24"/>
          <w:szCs w:val="24"/>
        </w:rPr>
        <w:t>, 2020, as shown in the following table:</w:t>
      </w:r>
    </w:p>
    <w:p w14:paraId="27BFA6DA" w14:textId="77777777" w:rsidR="009F1FB1" w:rsidRPr="009F1FB1" w:rsidRDefault="009F1FB1" w:rsidP="009F1FB1">
      <w:pPr>
        <w:spacing w:line="240" w:lineRule="auto"/>
        <w:ind w:left="432" w:hanging="432"/>
        <w:rPr>
          <w:rFonts w:ascii="Book Antiqua" w:hAnsi="Book Antiqua"/>
          <w:bCs/>
          <w:sz w:val="24"/>
          <w:szCs w:val="24"/>
        </w:rPr>
      </w:pPr>
    </w:p>
    <w:p w14:paraId="7E70D175" w14:textId="77777777"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LEAC</w:t>
      </w:r>
    </w:p>
    <w:p w14:paraId="492074A8" w14:textId="77777777"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Delivery Classification</w:t>
      </w:r>
      <w:r w:rsidRPr="009F1FB1">
        <w:rPr>
          <w:rFonts w:ascii="Book Antiqua" w:hAnsi="Book Antiqua"/>
          <w:bCs/>
          <w:sz w:val="24"/>
          <w:szCs w:val="24"/>
        </w:rPr>
        <w:tab/>
        <w:t>$ per kWh</w:t>
      </w:r>
    </w:p>
    <w:p w14:paraId="7D28344F" w14:textId="4E25AC65"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Secondary -</w:t>
      </w:r>
      <w:r w:rsidRPr="009F1FB1">
        <w:rPr>
          <w:rFonts w:ascii="Book Antiqua" w:hAnsi="Book Antiqua"/>
          <w:bCs/>
          <w:sz w:val="24"/>
          <w:szCs w:val="24"/>
        </w:rPr>
        <w:tab/>
      </w:r>
      <w:r w:rsidRPr="009F1FB1">
        <w:rPr>
          <w:rFonts w:ascii="Book Antiqua" w:hAnsi="Book Antiqua"/>
          <w:bCs/>
          <w:sz w:val="24"/>
          <w:szCs w:val="24"/>
        </w:rPr>
        <w:tab/>
      </w:r>
      <w:r w:rsidRPr="009F1FB1">
        <w:rPr>
          <w:rFonts w:ascii="Book Antiqua" w:hAnsi="Book Antiqua"/>
          <w:bCs/>
          <w:sz w:val="24"/>
          <w:szCs w:val="24"/>
        </w:rPr>
        <w:tab/>
        <w:t>$ 0.1</w:t>
      </w:r>
      <w:r w:rsidR="00650039">
        <w:rPr>
          <w:rFonts w:ascii="Book Antiqua" w:hAnsi="Book Antiqua"/>
          <w:bCs/>
          <w:sz w:val="24"/>
          <w:szCs w:val="24"/>
        </w:rPr>
        <w:t>100</w:t>
      </w:r>
      <w:r w:rsidR="00532119">
        <w:rPr>
          <w:rFonts w:ascii="Book Antiqua" w:hAnsi="Book Antiqua"/>
          <w:bCs/>
          <w:sz w:val="24"/>
          <w:szCs w:val="24"/>
        </w:rPr>
        <w:t>39</w:t>
      </w:r>
    </w:p>
    <w:p w14:paraId="0A6BAE64" w14:textId="19BA1ECA"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Primary – 13.8 KV</w:t>
      </w:r>
      <w:r w:rsidRPr="009F1FB1">
        <w:rPr>
          <w:rFonts w:ascii="Book Antiqua" w:hAnsi="Book Antiqua"/>
          <w:bCs/>
          <w:sz w:val="24"/>
          <w:szCs w:val="24"/>
        </w:rPr>
        <w:tab/>
      </w:r>
      <w:r w:rsidRPr="009F1FB1">
        <w:rPr>
          <w:rFonts w:ascii="Book Antiqua" w:hAnsi="Book Antiqua"/>
          <w:bCs/>
          <w:sz w:val="24"/>
          <w:szCs w:val="24"/>
        </w:rPr>
        <w:tab/>
        <w:t>$ 0.1</w:t>
      </w:r>
      <w:r w:rsidR="00650039">
        <w:rPr>
          <w:rFonts w:ascii="Book Antiqua" w:hAnsi="Book Antiqua"/>
          <w:bCs/>
          <w:sz w:val="24"/>
          <w:szCs w:val="24"/>
        </w:rPr>
        <w:t>06727</w:t>
      </w:r>
      <w:r w:rsidRPr="009F1FB1">
        <w:rPr>
          <w:rFonts w:ascii="Book Antiqua" w:hAnsi="Book Antiqua"/>
          <w:bCs/>
          <w:sz w:val="24"/>
          <w:szCs w:val="24"/>
        </w:rPr>
        <w:t xml:space="preserve"> </w:t>
      </w:r>
    </w:p>
    <w:p w14:paraId="600DF730" w14:textId="607DE7D8"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Primary – 34.5 KV</w:t>
      </w:r>
      <w:r w:rsidRPr="009F1FB1">
        <w:rPr>
          <w:rFonts w:ascii="Book Antiqua" w:hAnsi="Book Antiqua"/>
          <w:bCs/>
          <w:sz w:val="24"/>
          <w:szCs w:val="24"/>
        </w:rPr>
        <w:tab/>
      </w:r>
      <w:r w:rsidRPr="009F1FB1">
        <w:rPr>
          <w:rFonts w:ascii="Book Antiqua" w:hAnsi="Book Antiqua"/>
          <w:bCs/>
          <w:sz w:val="24"/>
          <w:szCs w:val="24"/>
        </w:rPr>
        <w:tab/>
        <w:t>$ 0.1</w:t>
      </w:r>
      <w:r w:rsidR="00650039">
        <w:rPr>
          <w:rFonts w:ascii="Book Antiqua" w:hAnsi="Book Antiqua"/>
          <w:bCs/>
          <w:sz w:val="24"/>
          <w:szCs w:val="24"/>
        </w:rPr>
        <w:t>06420</w:t>
      </w:r>
    </w:p>
    <w:p w14:paraId="12D0C382" w14:textId="1E0907C5"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t>Transmission – 115 KV</w:t>
      </w:r>
      <w:r w:rsidRPr="009F1FB1">
        <w:rPr>
          <w:rFonts w:ascii="Book Antiqua" w:hAnsi="Book Antiqua"/>
          <w:bCs/>
          <w:sz w:val="24"/>
          <w:szCs w:val="24"/>
        </w:rPr>
        <w:tab/>
      </w:r>
      <w:r w:rsidRPr="009F1FB1">
        <w:rPr>
          <w:rFonts w:ascii="Book Antiqua" w:hAnsi="Book Antiqua"/>
          <w:bCs/>
          <w:sz w:val="24"/>
          <w:szCs w:val="24"/>
        </w:rPr>
        <w:tab/>
        <w:t>$ 0.1</w:t>
      </w:r>
      <w:r w:rsidR="00650039">
        <w:rPr>
          <w:rFonts w:ascii="Book Antiqua" w:hAnsi="Book Antiqua"/>
          <w:bCs/>
          <w:sz w:val="24"/>
          <w:szCs w:val="24"/>
        </w:rPr>
        <w:t>05110</w:t>
      </w:r>
    </w:p>
    <w:p w14:paraId="6DE9083F" w14:textId="77777777" w:rsidR="009F1FB1" w:rsidRPr="009F1FB1" w:rsidRDefault="009F1FB1" w:rsidP="009F1FB1">
      <w:pPr>
        <w:spacing w:line="240" w:lineRule="auto"/>
        <w:ind w:left="432" w:hanging="432"/>
        <w:rPr>
          <w:rFonts w:ascii="Book Antiqua" w:hAnsi="Book Antiqua"/>
          <w:bCs/>
          <w:sz w:val="24"/>
          <w:szCs w:val="24"/>
        </w:rPr>
      </w:pPr>
    </w:p>
    <w:p w14:paraId="1FEE57AB" w14:textId="2634162E"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 xml:space="preserve">        For the entire LEAC period, these changes represent a </w:t>
      </w:r>
      <w:r w:rsidR="00E46301">
        <w:rPr>
          <w:rFonts w:ascii="Book Antiqua" w:hAnsi="Book Antiqua"/>
          <w:bCs/>
          <w:sz w:val="24"/>
          <w:szCs w:val="24"/>
        </w:rPr>
        <w:t>10.67%</w:t>
      </w:r>
      <w:r w:rsidRPr="009F1FB1">
        <w:rPr>
          <w:rFonts w:ascii="Book Antiqua" w:hAnsi="Book Antiqua"/>
          <w:bCs/>
          <w:sz w:val="24"/>
          <w:szCs w:val="24"/>
        </w:rPr>
        <w:t xml:space="preserve"> decrease in </w:t>
      </w:r>
    </w:p>
    <w:p w14:paraId="15A5FB7D" w14:textId="77777777"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 xml:space="preserve">        the total bill for a residential customer utilizing an average of 1,000 kilowatt </w:t>
      </w:r>
    </w:p>
    <w:p w14:paraId="1BAD9F03" w14:textId="3743BAAD" w:rsid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 xml:space="preserve">        hours per month.</w:t>
      </w:r>
    </w:p>
    <w:p w14:paraId="3C5D6221" w14:textId="658A5950" w:rsidR="00E46301" w:rsidRDefault="00E46301" w:rsidP="009F1FB1">
      <w:pPr>
        <w:spacing w:line="240" w:lineRule="auto"/>
        <w:ind w:left="432" w:hanging="432"/>
        <w:rPr>
          <w:rFonts w:ascii="Book Antiqua" w:hAnsi="Book Antiqua"/>
          <w:bCs/>
          <w:sz w:val="24"/>
          <w:szCs w:val="24"/>
        </w:rPr>
      </w:pPr>
    </w:p>
    <w:p w14:paraId="1B816195" w14:textId="2A180DE4" w:rsidR="00CF632F" w:rsidRPr="00CF632F" w:rsidRDefault="00CF632F" w:rsidP="00CF632F">
      <w:pPr>
        <w:spacing w:line="240" w:lineRule="auto"/>
        <w:ind w:left="432" w:hanging="432"/>
        <w:rPr>
          <w:rFonts w:ascii="Book Antiqua" w:hAnsi="Book Antiqua"/>
          <w:bCs/>
          <w:sz w:val="24"/>
          <w:szCs w:val="24"/>
        </w:rPr>
      </w:pPr>
      <w:r>
        <w:rPr>
          <w:rFonts w:ascii="Book Antiqua" w:hAnsi="Book Antiqua"/>
          <w:bCs/>
          <w:sz w:val="24"/>
          <w:szCs w:val="24"/>
        </w:rPr>
        <w:t>3.</w:t>
      </w:r>
      <w:r>
        <w:rPr>
          <w:rFonts w:ascii="Book Antiqua" w:hAnsi="Book Antiqua"/>
          <w:bCs/>
          <w:sz w:val="24"/>
          <w:szCs w:val="24"/>
        </w:rPr>
        <w:tab/>
        <w:t xml:space="preserve">This Docket shall remain open; the PUC retains jurisdiction over this matter for the purpose of considering at its </w:t>
      </w:r>
      <w:r w:rsidR="00B322E5">
        <w:rPr>
          <w:rFonts w:ascii="Book Antiqua" w:hAnsi="Book Antiqua"/>
          <w:bCs/>
          <w:sz w:val="24"/>
          <w:szCs w:val="24"/>
        </w:rPr>
        <w:t>May 28</w:t>
      </w:r>
      <w:r>
        <w:rPr>
          <w:rFonts w:ascii="Book Antiqua" w:hAnsi="Book Antiqua"/>
          <w:bCs/>
          <w:sz w:val="24"/>
          <w:szCs w:val="24"/>
        </w:rPr>
        <w:t>, 2020, Meeting</w:t>
      </w:r>
      <w:r w:rsidR="00452569">
        <w:rPr>
          <w:rFonts w:ascii="Book Antiqua" w:hAnsi="Book Antiqua"/>
          <w:bCs/>
          <w:sz w:val="24"/>
          <w:szCs w:val="24"/>
        </w:rPr>
        <w:t>,</w:t>
      </w:r>
      <w:r>
        <w:rPr>
          <w:rFonts w:ascii="Book Antiqua" w:hAnsi="Book Antiqua"/>
          <w:bCs/>
          <w:sz w:val="24"/>
          <w:szCs w:val="24"/>
        </w:rPr>
        <w:t xml:space="preserve"> whether the LEAC Factor should be further reduced due to declining fuel prices.</w:t>
      </w:r>
      <w:r w:rsidRPr="00CF632F">
        <w:rPr>
          <w:rFonts w:ascii="Book Antiqua" w:hAnsi="Book Antiqua"/>
          <w:bCs/>
          <w:sz w:val="24"/>
          <w:szCs w:val="24"/>
        </w:rPr>
        <w:t xml:space="preserve"> </w:t>
      </w:r>
    </w:p>
    <w:p w14:paraId="2411E94D" w14:textId="0D9D7777" w:rsidR="00CF632F" w:rsidRDefault="00CF632F" w:rsidP="00CF632F">
      <w:pPr>
        <w:spacing w:line="240" w:lineRule="auto"/>
        <w:ind w:left="432" w:hanging="432"/>
        <w:rPr>
          <w:rFonts w:ascii="Book Antiqua" w:hAnsi="Book Antiqua"/>
          <w:bCs/>
          <w:sz w:val="24"/>
          <w:szCs w:val="24"/>
        </w:rPr>
      </w:pPr>
      <w:r w:rsidRPr="00CF632F">
        <w:rPr>
          <w:rFonts w:ascii="Book Antiqua" w:hAnsi="Book Antiqua"/>
          <w:bCs/>
          <w:sz w:val="24"/>
          <w:szCs w:val="24"/>
        </w:rPr>
        <w:t xml:space="preserve">    </w:t>
      </w:r>
    </w:p>
    <w:p w14:paraId="6E0C4793" w14:textId="6DC6C168" w:rsidR="00CF632F" w:rsidRPr="009F1FB1" w:rsidRDefault="00CF632F" w:rsidP="00CF632F">
      <w:pPr>
        <w:spacing w:line="240" w:lineRule="auto"/>
        <w:ind w:left="432" w:hanging="432"/>
        <w:rPr>
          <w:rFonts w:ascii="Book Antiqua" w:hAnsi="Book Antiqua"/>
          <w:bCs/>
          <w:sz w:val="24"/>
          <w:szCs w:val="24"/>
        </w:rPr>
      </w:pPr>
      <w:r>
        <w:rPr>
          <w:rFonts w:ascii="Book Antiqua" w:hAnsi="Book Antiqua"/>
          <w:bCs/>
          <w:sz w:val="24"/>
          <w:szCs w:val="24"/>
        </w:rPr>
        <w:t xml:space="preserve">4.    GPA shall file updated fuel prices with the PUC by April 21, 2020, </w:t>
      </w:r>
      <w:r w:rsidR="00B322E5">
        <w:rPr>
          <w:rFonts w:ascii="Book Antiqua" w:hAnsi="Book Antiqua"/>
          <w:bCs/>
          <w:sz w:val="24"/>
          <w:szCs w:val="24"/>
        </w:rPr>
        <w:t xml:space="preserve">and May 19, 2020, </w:t>
      </w:r>
      <w:r>
        <w:rPr>
          <w:rFonts w:ascii="Book Antiqua" w:hAnsi="Book Antiqua"/>
          <w:bCs/>
          <w:sz w:val="24"/>
          <w:szCs w:val="24"/>
        </w:rPr>
        <w:t>in accordance with established</w:t>
      </w:r>
      <w:r w:rsidR="00452569">
        <w:rPr>
          <w:rFonts w:ascii="Book Antiqua" w:hAnsi="Book Antiqua"/>
          <w:bCs/>
          <w:sz w:val="24"/>
          <w:szCs w:val="24"/>
        </w:rPr>
        <w:t xml:space="preserve"> PUC</w:t>
      </w:r>
      <w:r>
        <w:rPr>
          <w:rFonts w:ascii="Book Antiqua" w:hAnsi="Book Antiqua"/>
          <w:bCs/>
          <w:sz w:val="24"/>
          <w:szCs w:val="24"/>
        </w:rPr>
        <w:t xml:space="preserve"> procedure.</w:t>
      </w:r>
    </w:p>
    <w:p w14:paraId="6EB9FD32" w14:textId="77777777" w:rsidR="009F1FB1"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ab/>
      </w:r>
    </w:p>
    <w:p w14:paraId="70334F76" w14:textId="776E366A" w:rsidR="009F1FB1" w:rsidRPr="009F1FB1" w:rsidRDefault="00CF632F" w:rsidP="009F1FB1">
      <w:pPr>
        <w:spacing w:line="240" w:lineRule="auto"/>
        <w:ind w:left="432" w:hanging="432"/>
        <w:rPr>
          <w:rFonts w:ascii="Book Antiqua" w:hAnsi="Book Antiqua"/>
          <w:bCs/>
          <w:sz w:val="24"/>
          <w:szCs w:val="24"/>
        </w:rPr>
      </w:pPr>
      <w:r>
        <w:rPr>
          <w:rFonts w:ascii="Book Antiqua" w:hAnsi="Book Antiqua"/>
          <w:bCs/>
          <w:sz w:val="24"/>
          <w:szCs w:val="24"/>
        </w:rPr>
        <w:t>5</w:t>
      </w:r>
      <w:r w:rsidR="009F1FB1" w:rsidRPr="009F1FB1">
        <w:rPr>
          <w:rFonts w:ascii="Book Antiqua" w:hAnsi="Book Antiqua"/>
          <w:bCs/>
          <w:sz w:val="24"/>
          <w:szCs w:val="24"/>
        </w:rPr>
        <w:t>.</w:t>
      </w:r>
      <w:r w:rsidR="009F1FB1" w:rsidRPr="009F1FB1">
        <w:rPr>
          <w:rFonts w:ascii="Book Antiqua" w:hAnsi="Book Antiqua"/>
          <w:bCs/>
          <w:sz w:val="24"/>
          <w:szCs w:val="24"/>
        </w:rPr>
        <w:tab/>
        <w:t>GPA should file for a change in the LEAC factors to be effective August 1, 2020, on or before June 15, 2020.</w:t>
      </w:r>
    </w:p>
    <w:p w14:paraId="7B7C5C12" w14:textId="77777777" w:rsidR="009F1FB1" w:rsidRPr="009F1FB1" w:rsidRDefault="009F1FB1" w:rsidP="009F1FB1">
      <w:pPr>
        <w:spacing w:line="240" w:lineRule="auto"/>
        <w:ind w:left="432" w:hanging="432"/>
        <w:rPr>
          <w:rFonts w:ascii="Book Antiqua" w:hAnsi="Book Antiqua"/>
          <w:bCs/>
          <w:sz w:val="24"/>
          <w:szCs w:val="24"/>
        </w:rPr>
      </w:pPr>
    </w:p>
    <w:p w14:paraId="451FBD9A" w14:textId="77777777" w:rsidR="00CF632F" w:rsidRDefault="00CF632F" w:rsidP="00CF632F">
      <w:pPr>
        <w:spacing w:line="240" w:lineRule="auto"/>
        <w:ind w:left="432" w:hanging="432"/>
        <w:rPr>
          <w:rFonts w:ascii="Book Antiqua" w:hAnsi="Book Antiqua"/>
          <w:bCs/>
          <w:sz w:val="24"/>
          <w:szCs w:val="24"/>
        </w:rPr>
      </w:pPr>
    </w:p>
    <w:p w14:paraId="04E8A28A" w14:textId="77777777" w:rsidR="00CF632F" w:rsidRDefault="00CF632F" w:rsidP="00CF632F">
      <w:pPr>
        <w:spacing w:line="240" w:lineRule="auto"/>
        <w:ind w:left="432" w:hanging="432"/>
        <w:rPr>
          <w:rFonts w:ascii="Book Antiqua" w:hAnsi="Book Antiqua"/>
          <w:bCs/>
          <w:sz w:val="24"/>
          <w:szCs w:val="24"/>
        </w:rPr>
      </w:pPr>
    </w:p>
    <w:p w14:paraId="624AA896" w14:textId="77777777" w:rsidR="00CF632F" w:rsidRDefault="00CF632F" w:rsidP="00CF632F">
      <w:pPr>
        <w:spacing w:line="240" w:lineRule="auto"/>
        <w:ind w:left="432" w:hanging="432"/>
        <w:rPr>
          <w:rFonts w:ascii="Book Antiqua" w:hAnsi="Book Antiqua"/>
          <w:bCs/>
          <w:sz w:val="24"/>
          <w:szCs w:val="24"/>
        </w:rPr>
      </w:pPr>
    </w:p>
    <w:p w14:paraId="1A02A0C5" w14:textId="6BB03769" w:rsidR="009F1FB1" w:rsidRPr="009F1FB1" w:rsidRDefault="00CF632F" w:rsidP="00CF632F">
      <w:pPr>
        <w:spacing w:line="240" w:lineRule="auto"/>
        <w:ind w:left="432" w:hanging="432"/>
        <w:rPr>
          <w:rFonts w:ascii="Book Antiqua" w:hAnsi="Book Antiqua"/>
          <w:bCs/>
          <w:sz w:val="24"/>
          <w:szCs w:val="24"/>
        </w:rPr>
      </w:pPr>
      <w:r>
        <w:rPr>
          <w:rFonts w:ascii="Book Antiqua" w:hAnsi="Book Antiqua"/>
          <w:bCs/>
          <w:sz w:val="24"/>
          <w:szCs w:val="24"/>
        </w:rPr>
        <w:t>6</w:t>
      </w:r>
      <w:r w:rsidR="009F1FB1" w:rsidRPr="009F1FB1">
        <w:rPr>
          <w:rFonts w:ascii="Book Antiqua" w:hAnsi="Book Antiqua"/>
          <w:bCs/>
          <w:sz w:val="24"/>
          <w:szCs w:val="24"/>
        </w:rPr>
        <w:t>.</w:t>
      </w:r>
      <w:r w:rsidR="009F1FB1" w:rsidRPr="009F1FB1">
        <w:rPr>
          <w:rFonts w:ascii="Book Antiqua" w:hAnsi="Book Antiqua"/>
          <w:bCs/>
          <w:sz w:val="24"/>
          <w:szCs w:val="24"/>
        </w:rPr>
        <w:tab/>
        <w:t>As requested by GPA, the forecast of the Working Capital Fund Requirement will remain the same, so there will not be a change in the Working Capital Surcharge for the period of February 1, 2020, through July 31, 2020.</w:t>
      </w:r>
    </w:p>
    <w:p w14:paraId="71DE59DD" w14:textId="77777777" w:rsidR="009F1FB1" w:rsidRPr="009F1FB1" w:rsidRDefault="009F1FB1" w:rsidP="009F1FB1">
      <w:pPr>
        <w:spacing w:line="240" w:lineRule="auto"/>
        <w:ind w:left="432" w:hanging="432"/>
        <w:rPr>
          <w:rFonts w:ascii="Book Antiqua" w:hAnsi="Book Antiqua"/>
          <w:bCs/>
          <w:sz w:val="24"/>
          <w:szCs w:val="24"/>
        </w:rPr>
      </w:pPr>
    </w:p>
    <w:p w14:paraId="0BA2D591" w14:textId="7A2A6B3E" w:rsidR="00323099" w:rsidRPr="009F1FB1" w:rsidRDefault="009F1FB1" w:rsidP="009F1FB1">
      <w:pPr>
        <w:spacing w:line="240" w:lineRule="auto"/>
        <w:ind w:left="432" w:hanging="432"/>
        <w:rPr>
          <w:rFonts w:ascii="Book Antiqua" w:hAnsi="Book Antiqua"/>
          <w:bCs/>
          <w:sz w:val="24"/>
          <w:szCs w:val="24"/>
        </w:rPr>
      </w:pPr>
      <w:r w:rsidRPr="009F1FB1">
        <w:rPr>
          <w:rFonts w:ascii="Book Antiqua" w:hAnsi="Book Antiqua"/>
          <w:bCs/>
          <w:sz w:val="24"/>
          <w:szCs w:val="24"/>
        </w:rPr>
        <w:t>7.</w:t>
      </w:r>
      <w:r w:rsidRPr="009F1FB1">
        <w:rPr>
          <w:rFonts w:ascii="Book Antiqua" w:hAnsi="Book Antiqua"/>
          <w:bCs/>
          <w:sz w:val="24"/>
          <w:szCs w:val="24"/>
        </w:rPr>
        <w:tab/>
        <w:t>GPA is ordered to pay the Commission’s regulatory fees and expenses, including, without limitation, consulting and counsel fees and the fees and expenses of conducting the hearing proceedings.  Assessment of PUC’s regulatory fees and expenses is authorized pursuant to 12 GCA §§12103(b) and 12125(b), and Rule 40 of the Rules of Practice and Procedure before the Public Utilities Commission.</w:t>
      </w:r>
    </w:p>
    <w:p w14:paraId="00E7D30D" w14:textId="77777777" w:rsidR="00420216" w:rsidRDefault="00420216" w:rsidP="00420216">
      <w:pPr>
        <w:pStyle w:val="ListParagraph"/>
        <w:spacing w:line="240" w:lineRule="auto"/>
        <w:rPr>
          <w:rFonts w:ascii="Book Antiqua" w:hAnsi="Book Antiqua"/>
          <w:b/>
          <w:sz w:val="24"/>
          <w:szCs w:val="24"/>
          <w:u w:val="single"/>
        </w:rPr>
      </w:pPr>
    </w:p>
    <w:p w14:paraId="3D3230E5" w14:textId="2D2E17EB" w:rsidR="00E44512" w:rsidRDefault="00E44512" w:rsidP="00CF632F">
      <w:pPr>
        <w:pStyle w:val="ListParagraph"/>
        <w:spacing w:line="240" w:lineRule="auto"/>
        <w:ind w:left="0"/>
        <w:rPr>
          <w:rFonts w:ascii="Book Antiqua" w:hAnsi="Book Antiqua"/>
          <w:sz w:val="24"/>
          <w:szCs w:val="24"/>
        </w:rPr>
      </w:pPr>
    </w:p>
    <w:p w14:paraId="498A8740" w14:textId="7B5ADCC2" w:rsidR="00546236" w:rsidRDefault="00546236" w:rsidP="00E44512">
      <w:pPr>
        <w:jc w:val="center"/>
        <w:rPr>
          <w:rFonts w:ascii="Book Antiqua" w:hAnsi="Book Antiqua"/>
          <w:sz w:val="24"/>
          <w:szCs w:val="24"/>
        </w:rPr>
      </w:pPr>
    </w:p>
    <w:p w14:paraId="67D3EF64" w14:textId="4893C557" w:rsidR="00B34F4F" w:rsidRDefault="00B34F4F" w:rsidP="00E44512">
      <w:pPr>
        <w:jc w:val="center"/>
        <w:rPr>
          <w:rFonts w:ascii="Book Antiqua" w:hAnsi="Book Antiqua"/>
          <w:sz w:val="24"/>
          <w:szCs w:val="24"/>
        </w:rPr>
      </w:pPr>
    </w:p>
    <w:p w14:paraId="680677AA" w14:textId="5B29A586" w:rsidR="00B34F4F" w:rsidRDefault="00B34F4F" w:rsidP="00E44512">
      <w:pPr>
        <w:jc w:val="center"/>
        <w:rPr>
          <w:rFonts w:ascii="Book Antiqua" w:hAnsi="Book Antiqua"/>
          <w:sz w:val="24"/>
          <w:szCs w:val="24"/>
        </w:rPr>
      </w:pPr>
    </w:p>
    <w:p w14:paraId="67BFEDAE" w14:textId="490E0A8C" w:rsidR="00B34F4F" w:rsidRDefault="00B34F4F" w:rsidP="00E44512">
      <w:pPr>
        <w:jc w:val="center"/>
        <w:rPr>
          <w:rFonts w:ascii="Book Antiqua" w:hAnsi="Book Antiqua"/>
          <w:sz w:val="24"/>
          <w:szCs w:val="24"/>
        </w:rPr>
      </w:pPr>
    </w:p>
    <w:p w14:paraId="3AB76AA3" w14:textId="2982B786" w:rsidR="00B34F4F" w:rsidRDefault="00B34F4F" w:rsidP="00E44512">
      <w:pPr>
        <w:jc w:val="center"/>
        <w:rPr>
          <w:rFonts w:ascii="Book Antiqua" w:hAnsi="Book Antiqua"/>
          <w:sz w:val="24"/>
          <w:szCs w:val="24"/>
        </w:rPr>
      </w:pPr>
    </w:p>
    <w:p w14:paraId="0BAA3074" w14:textId="77777777" w:rsidR="00B34F4F" w:rsidRPr="00B34F4F" w:rsidRDefault="00B34F4F" w:rsidP="00B34F4F">
      <w:pPr>
        <w:jc w:val="center"/>
        <w:rPr>
          <w:rFonts w:ascii="Book Antiqua" w:hAnsi="Book Antiqua"/>
          <w:sz w:val="24"/>
          <w:szCs w:val="24"/>
        </w:rPr>
      </w:pPr>
      <w:r w:rsidRPr="00B34F4F">
        <w:rPr>
          <w:rFonts w:ascii="Book Antiqua" w:hAnsi="Book Antiqua"/>
          <w:sz w:val="24"/>
          <w:szCs w:val="24"/>
        </w:rPr>
        <w:t>[SIGNATURES TO FOLLOW ON NEXT PAGE]</w:t>
      </w:r>
    </w:p>
    <w:p w14:paraId="16C74E06" w14:textId="1B11920F" w:rsidR="00B34F4F" w:rsidRDefault="00B34F4F" w:rsidP="00E44512">
      <w:pPr>
        <w:jc w:val="center"/>
        <w:rPr>
          <w:rFonts w:ascii="Book Antiqua" w:hAnsi="Book Antiqua"/>
          <w:sz w:val="24"/>
          <w:szCs w:val="24"/>
        </w:rPr>
      </w:pPr>
    </w:p>
    <w:p w14:paraId="0C1CFA9B" w14:textId="4EC6C5C7" w:rsidR="00B34F4F" w:rsidRDefault="00B34F4F" w:rsidP="00E44512">
      <w:pPr>
        <w:jc w:val="center"/>
        <w:rPr>
          <w:rFonts w:ascii="Book Antiqua" w:hAnsi="Book Antiqua"/>
          <w:sz w:val="24"/>
          <w:szCs w:val="24"/>
        </w:rPr>
      </w:pPr>
    </w:p>
    <w:p w14:paraId="3A9E4959" w14:textId="65709DF1" w:rsidR="00B34F4F" w:rsidRDefault="00B34F4F" w:rsidP="00E44512">
      <w:pPr>
        <w:jc w:val="center"/>
        <w:rPr>
          <w:rFonts w:ascii="Book Antiqua" w:hAnsi="Book Antiqua"/>
          <w:sz w:val="24"/>
          <w:szCs w:val="24"/>
        </w:rPr>
      </w:pPr>
    </w:p>
    <w:p w14:paraId="2C6812C0" w14:textId="2FA40E51" w:rsidR="00B34F4F" w:rsidRDefault="00B34F4F" w:rsidP="00E44512">
      <w:pPr>
        <w:jc w:val="center"/>
        <w:rPr>
          <w:rFonts w:ascii="Book Antiqua" w:hAnsi="Book Antiqua"/>
          <w:sz w:val="24"/>
          <w:szCs w:val="24"/>
        </w:rPr>
      </w:pPr>
    </w:p>
    <w:p w14:paraId="43C6069A" w14:textId="1EF81F3C" w:rsidR="00B34F4F" w:rsidRDefault="00B34F4F" w:rsidP="00E44512">
      <w:pPr>
        <w:jc w:val="center"/>
        <w:rPr>
          <w:rFonts w:ascii="Book Antiqua" w:hAnsi="Book Antiqua"/>
          <w:sz w:val="24"/>
          <w:szCs w:val="24"/>
        </w:rPr>
      </w:pPr>
    </w:p>
    <w:p w14:paraId="2FD2F9BE" w14:textId="4BC3C9A9" w:rsidR="00B34F4F" w:rsidRDefault="00B34F4F" w:rsidP="00E44512">
      <w:pPr>
        <w:jc w:val="center"/>
        <w:rPr>
          <w:rFonts w:ascii="Book Antiqua" w:hAnsi="Book Antiqua"/>
          <w:sz w:val="24"/>
          <w:szCs w:val="24"/>
        </w:rPr>
      </w:pPr>
    </w:p>
    <w:p w14:paraId="311C37DB" w14:textId="22978FC5" w:rsidR="00B34F4F" w:rsidRDefault="00B34F4F" w:rsidP="00E44512">
      <w:pPr>
        <w:jc w:val="center"/>
        <w:rPr>
          <w:rFonts w:ascii="Book Antiqua" w:hAnsi="Book Antiqua"/>
          <w:sz w:val="24"/>
          <w:szCs w:val="24"/>
        </w:rPr>
      </w:pPr>
    </w:p>
    <w:p w14:paraId="2B734FC9" w14:textId="01C895FC" w:rsidR="00B34F4F" w:rsidRDefault="00B34F4F" w:rsidP="00E44512">
      <w:pPr>
        <w:jc w:val="center"/>
        <w:rPr>
          <w:rFonts w:ascii="Book Antiqua" w:hAnsi="Book Antiqua"/>
          <w:sz w:val="24"/>
          <w:szCs w:val="24"/>
        </w:rPr>
      </w:pPr>
    </w:p>
    <w:p w14:paraId="072E8E5C" w14:textId="2018208A" w:rsidR="00B34F4F" w:rsidRDefault="00B34F4F" w:rsidP="00E44512">
      <w:pPr>
        <w:jc w:val="center"/>
        <w:rPr>
          <w:rFonts w:ascii="Book Antiqua" w:hAnsi="Book Antiqua"/>
          <w:sz w:val="24"/>
          <w:szCs w:val="24"/>
        </w:rPr>
      </w:pPr>
    </w:p>
    <w:p w14:paraId="58A512AF" w14:textId="4FCA95E2" w:rsidR="00B34F4F" w:rsidRDefault="00B34F4F" w:rsidP="00E44512">
      <w:pPr>
        <w:jc w:val="center"/>
        <w:rPr>
          <w:rFonts w:ascii="Book Antiqua" w:hAnsi="Book Antiqua"/>
          <w:sz w:val="24"/>
          <w:szCs w:val="24"/>
        </w:rPr>
      </w:pPr>
    </w:p>
    <w:p w14:paraId="29E4DA37" w14:textId="4B944506" w:rsidR="00B34F4F" w:rsidRDefault="00B34F4F" w:rsidP="00E44512">
      <w:pPr>
        <w:jc w:val="center"/>
        <w:rPr>
          <w:rFonts w:ascii="Book Antiqua" w:hAnsi="Book Antiqua"/>
          <w:sz w:val="24"/>
          <w:szCs w:val="24"/>
        </w:rPr>
      </w:pPr>
    </w:p>
    <w:p w14:paraId="06C0AFBA" w14:textId="29223987" w:rsidR="00B34F4F" w:rsidRDefault="00B34F4F" w:rsidP="00E44512">
      <w:pPr>
        <w:jc w:val="center"/>
        <w:rPr>
          <w:rFonts w:ascii="Book Antiqua" w:hAnsi="Book Antiqua"/>
          <w:sz w:val="24"/>
          <w:szCs w:val="24"/>
        </w:rPr>
      </w:pPr>
    </w:p>
    <w:p w14:paraId="49E1106D" w14:textId="19AE73B3" w:rsidR="00CD4EA0" w:rsidRPr="00CD4EA0" w:rsidRDefault="00CD4EA0" w:rsidP="00CD4EA0">
      <w:pPr>
        <w:rPr>
          <w:rFonts w:ascii="Book Antiqua" w:hAnsi="Book Antiqua"/>
          <w:sz w:val="24"/>
          <w:szCs w:val="24"/>
        </w:rPr>
      </w:pPr>
      <w:r w:rsidRPr="00CD4EA0">
        <w:rPr>
          <w:rFonts w:ascii="Book Antiqua" w:hAnsi="Book Antiqua"/>
          <w:sz w:val="24"/>
          <w:szCs w:val="24"/>
        </w:rPr>
        <w:t xml:space="preserve">Dated this </w:t>
      </w:r>
      <w:r>
        <w:rPr>
          <w:rFonts w:ascii="Book Antiqua" w:hAnsi="Book Antiqua"/>
          <w:sz w:val="24"/>
          <w:szCs w:val="24"/>
        </w:rPr>
        <w:t>26</w:t>
      </w:r>
      <w:r w:rsidRPr="00CD4EA0">
        <w:rPr>
          <w:rFonts w:ascii="Book Antiqua" w:hAnsi="Book Antiqua"/>
          <w:sz w:val="24"/>
          <w:szCs w:val="24"/>
        </w:rPr>
        <w:t xml:space="preserve">th day of </w:t>
      </w:r>
      <w:r>
        <w:rPr>
          <w:rFonts w:ascii="Book Antiqua" w:hAnsi="Book Antiqua"/>
          <w:sz w:val="24"/>
          <w:szCs w:val="24"/>
        </w:rPr>
        <w:t>March</w:t>
      </w:r>
      <w:r w:rsidRPr="00CD4EA0">
        <w:rPr>
          <w:rFonts w:ascii="Book Antiqua" w:hAnsi="Book Antiqua"/>
          <w:sz w:val="24"/>
          <w:szCs w:val="24"/>
        </w:rPr>
        <w:t>, 2020.</w:t>
      </w:r>
    </w:p>
    <w:p w14:paraId="5A400B80" w14:textId="77777777" w:rsidR="00CD4EA0" w:rsidRPr="00CD4EA0" w:rsidRDefault="00CD4EA0" w:rsidP="00CD4EA0">
      <w:pPr>
        <w:rPr>
          <w:rFonts w:ascii="Book Antiqua" w:hAnsi="Book Antiqua"/>
          <w:sz w:val="24"/>
          <w:szCs w:val="24"/>
        </w:rPr>
      </w:pPr>
    </w:p>
    <w:p w14:paraId="10826436" w14:textId="77777777" w:rsidR="00CD4EA0" w:rsidRPr="00CD4EA0" w:rsidRDefault="00CD4EA0" w:rsidP="00CD4EA0">
      <w:pPr>
        <w:rPr>
          <w:rFonts w:ascii="Book Antiqua" w:hAnsi="Book Antiqua"/>
          <w:sz w:val="24"/>
          <w:szCs w:val="24"/>
        </w:rPr>
      </w:pPr>
      <w:r w:rsidRPr="00CD4EA0">
        <w:rPr>
          <w:rFonts w:ascii="Book Antiqua" w:hAnsi="Book Antiqua"/>
          <w:sz w:val="24"/>
          <w:szCs w:val="24"/>
        </w:rPr>
        <w:t>__________________________</w:t>
      </w:r>
      <w:r w:rsidRPr="00CD4EA0">
        <w:rPr>
          <w:rFonts w:ascii="Book Antiqua" w:hAnsi="Book Antiqua"/>
          <w:sz w:val="24"/>
          <w:szCs w:val="24"/>
        </w:rPr>
        <w:tab/>
      </w:r>
      <w:r w:rsidRPr="00CD4EA0">
        <w:rPr>
          <w:rFonts w:ascii="Book Antiqua" w:hAnsi="Book Antiqua"/>
          <w:sz w:val="24"/>
          <w:szCs w:val="24"/>
        </w:rPr>
        <w:tab/>
        <w:t>____________________________</w:t>
      </w:r>
    </w:p>
    <w:p w14:paraId="754B296E"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Jeffrey C. Johnson</w:t>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t>Rowena E. Perez-Camacho</w:t>
      </w:r>
      <w:r w:rsidRPr="00CD4EA0">
        <w:rPr>
          <w:rFonts w:ascii="Book Antiqua" w:hAnsi="Book Antiqua"/>
          <w:sz w:val="24"/>
          <w:szCs w:val="24"/>
        </w:rPr>
        <w:tab/>
      </w:r>
      <w:r w:rsidRPr="00CD4EA0">
        <w:rPr>
          <w:rFonts w:ascii="Book Antiqua" w:hAnsi="Book Antiqua"/>
          <w:sz w:val="24"/>
          <w:szCs w:val="24"/>
        </w:rPr>
        <w:tab/>
      </w:r>
    </w:p>
    <w:p w14:paraId="5F815B8B" w14:textId="4FFC17B2" w:rsidR="00CD4EA0" w:rsidRDefault="00CD4EA0" w:rsidP="00CD4EA0">
      <w:pPr>
        <w:spacing w:line="240" w:lineRule="auto"/>
        <w:rPr>
          <w:rFonts w:ascii="Book Antiqua" w:hAnsi="Book Antiqua"/>
          <w:sz w:val="24"/>
          <w:szCs w:val="24"/>
        </w:rPr>
      </w:pPr>
      <w:r w:rsidRPr="00CD4EA0">
        <w:rPr>
          <w:rFonts w:ascii="Book Antiqua" w:hAnsi="Book Antiqua"/>
          <w:sz w:val="24"/>
          <w:szCs w:val="24"/>
        </w:rPr>
        <w:t>Chairman</w:t>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t>Commissioner</w:t>
      </w:r>
    </w:p>
    <w:p w14:paraId="1525F06B" w14:textId="77777777" w:rsidR="00CD4EA0" w:rsidRPr="00CD4EA0" w:rsidRDefault="00CD4EA0" w:rsidP="00CD4EA0">
      <w:pPr>
        <w:spacing w:line="240" w:lineRule="auto"/>
        <w:rPr>
          <w:rFonts w:ascii="Book Antiqua" w:hAnsi="Book Antiqua"/>
          <w:sz w:val="24"/>
          <w:szCs w:val="24"/>
        </w:rPr>
      </w:pPr>
    </w:p>
    <w:p w14:paraId="00A1C3A2" w14:textId="77777777" w:rsidR="00CD4EA0" w:rsidRPr="00CD4EA0" w:rsidRDefault="00CD4EA0" w:rsidP="00CD4EA0">
      <w:pPr>
        <w:spacing w:line="240" w:lineRule="auto"/>
        <w:rPr>
          <w:rFonts w:ascii="Book Antiqua" w:hAnsi="Book Antiqua"/>
          <w:sz w:val="24"/>
          <w:szCs w:val="24"/>
        </w:rPr>
      </w:pPr>
    </w:p>
    <w:p w14:paraId="58DAD30D"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___________________________</w:t>
      </w:r>
      <w:r w:rsidRPr="00CD4EA0">
        <w:rPr>
          <w:rFonts w:ascii="Book Antiqua" w:hAnsi="Book Antiqua"/>
          <w:sz w:val="24"/>
          <w:szCs w:val="24"/>
        </w:rPr>
        <w:tab/>
      </w:r>
      <w:r w:rsidRPr="00CD4EA0">
        <w:rPr>
          <w:rFonts w:ascii="Book Antiqua" w:hAnsi="Book Antiqua"/>
          <w:sz w:val="24"/>
          <w:szCs w:val="24"/>
        </w:rPr>
        <w:tab/>
        <w:t>_____________________________</w:t>
      </w:r>
    </w:p>
    <w:p w14:paraId="5DDF7236"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 xml:space="preserve">Joseph M. McDonald </w:t>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t>Michael A. Pangelinan</w:t>
      </w:r>
    </w:p>
    <w:p w14:paraId="602D7AC6" w14:textId="6B84E9CC" w:rsidR="00CD4EA0" w:rsidRDefault="00CD4EA0" w:rsidP="00CD4EA0">
      <w:pPr>
        <w:spacing w:line="240" w:lineRule="auto"/>
        <w:rPr>
          <w:rFonts w:ascii="Book Antiqua" w:hAnsi="Book Antiqua"/>
          <w:sz w:val="24"/>
          <w:szCs w:val="24"/>
        </w:rPr>
      </w:pPr>
      <w:r w:rsidRPr="00CD4EA0">
        <w:rPr>
          <w:rFonts w:ascii="Book Antiqua" w:hAnsi="Book Antiqua"/>
          <w:sz w:val="24"/>
          <w:szCs w:val="24"/>
        </w:rPr>
        <w:t>Commissioner</w:t>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proofErr w:type="spellStart"/>
      <w:r w:rsidRPr="00CD4EA0">
        <w:rPr>
          <w:rFonts w:ascii="Book Antiqua" w:hAnsi="Book Antiqua"/>
          <w:sz w:val="24"/>
          <w:szCs w:val="24"/>
        </w:rPr>
        <w:t>Commissioner</w:t>
      </w:r>
      <w:proofErr w:type="spellEnd"/>
    </w:p>
    <w:p w14:paraId="650A2866" w14:textId="77777777" w:rsidR="00CD4EA0" w:rsidRPr="00CD4EA0" w:rsidRDefault="00CD4EA0" w:rsidP="00CD4EA0">
      <w:pPr>
        <w:spacing w:line="240" w:lineRule="auto"/>
        <w:rPr>
          <w:rFonts w:ascii="Book Antiqua" w:hAnsi="Book Antiqua"/>
          <w:sz w:val="24"/>
          <w:szCs w:val="24"/>
        </w:rPr>
      </w:pPr>
    </w:p>
    <w:p w14:paraId="4BCBF31E" w14:textId="77777777" w:rsidR="00CD4EA0" w:rsidRPr="00CD4EA0" w:rsidRDefault="00CD4EA0" w:rsidP="00CD4EA0">
      <w:pPr>
        <w:spacing w:line="240" w:lineRule="auto"/>
        <w:rPr>
          <w:rFonts w:ascii="Book Antiqua" w:hAnsi="Book Antiqua"/>
          <w:sz w:val="24"/>
          <w:szCs w:val="24"/>
        </w:rPr>
      </w:pPr>
    </w:p>
    <w:p w14:paraId="6A3AA308"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__________________________</w:t>
      </w:r>
      <w:r w:rsidRPr="00CD4EA0">
        <w:rPr>
          <w:rFonts w:ascii="Book Antiqua" w:hAnsi="Book Antiqua"/>
          <w:sz w:val="24"/>
          <w:szCs w:val="24"/>
        </w:rPr>
        <w:tab/>
      </w:r>
      <w:r w:rsidRPr="00CD4EA0">
        <w:rPr>
          <w:rFonts w:ascii="Book Antiqua" w:hAnsi="Book Antiqua"/>
          <w:sz w:val="24"/>
          <w:szCs w:val="24"/>
        </w:rPr>
        <w:tab/>
        <w:t>_____________________________</w:t>
      </w:r>
    </w:p>
    <w:p w14:paraId="668D61A4"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 xml:space="preserve">Peter </w:t>
      </w:r>
      <w:proofErr w:type="spellStart"/>
      <w:r w:rsidRPr="00CD4EA0">
        <w:rPr>
          <w:rFonts w:ascii="Book Antiqua" w:hAnsi="Book Antiqua"/>
          <w:sz w:val="24"/>
          <w:szCs w:val="24"/>
        </w:rPr>
        <w:t>Montinola</w:t>
      </w:r>
      <w:proofErr w:type="spellEnd"/>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t>Doris Flores Brooks</w:t>
      </w:r>
    </w:p>
    <w:p w14:paraId="58E7B475" w14:textId="51BCC378" w:rsidR="00CD4EA0" w:rsidRDefault="00CD4EA0" w:rsidP="00CD4EA0">
      <w:pPr>
        <w:spacing w:line="240" w:lineRule="auto"/>
        <w:rPr>
          <w:rFonts w:ascii="Book Antiqua" w:hAnsi="Book Antiqua"/>
          <w:sz w:val="24"/>
          <w:szCs w:val="24"/>
        </w:rPr>
      </w:pPr>
      <w:r w:rsidRPr="00CD4EA0">
        <w:rPr>
          <w:rFonts w:ascii="Book Antiqua" w:hAnsi="Book Antiqua"/>
          <w:sz w:val="24"/>
          <w:szCs w:val="24"/>
        </w:rPr>
        <w:t>Commissioner</w:t>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r w:rsidRPr="00CD4EA0">
        <w:rPr>
          <w:rFonts w:ascii="Book Antiqua" w:hAnsi="Book Antiqua"/>
          <w:sz w:val="24"/>
          <w:szCs w:val="24"/>
        </w:rPr>
        <w:tab/>
      </w:r>
      <w:proofErr w:type="spellStart"/>
      <w:r w:rsidRPr="00CD4EA0">
        <w:rPr>
          <w:rFonts w:ascii="Book Antiqua" w:hAnsi="Book Antiqua"/>
          <w:sz w:val="24"/>
          <w:szCs w:val="24"/>
        </w:rPr>
        <w:t>Commissioner</w:t>
      </w:r>
      <w:proofErr w:type="spellEnd"/>
    </w:p>
    <w:p w14:paraId="51A3BA72" w14:textId="77777777" w:rsidR="00CD4EA0" w:rsidRPr="00CD4EA0" w:rsidRDefault="00CD4EA0" w:rsidP="00CD4EA0">
      <w:pPr>
        <w:spacing w:line="240" w:lineRule="auto"/>
        <w:rPr>
          <w:rFonts w:ascii="Book Antiqua" w:hAnsi="Book Antiqua"/>
          <w:sz w:val="24"/>
          <w:szCs w:val="24"/>
        </w:rPr>
      </w:pPr>
    </w:p>
    <w:p w14:paraId="4C02CB36" w14:textId="77777777" w:rsidR="00CD4EA0" w:rsidRPr="00CD4EA0" w:rsidRDefault="00CD4EA0" w:rsidP="00CD4EA0">
      <w:pPr>
        <w:spacing w:line="240" w:lineRule="auto"/>
        <w:rPr>
          <w:rFonts w:ascii="Book Antiqua" w:hAnsi="Book Antiqua"/>
          <w:sz w:val="24"/>
          <w:szCs w:val="24"/>
        </w:rPr>
      </w:pPr>
    </w:p>
    <w:p w14:paraId="223AC73D" w14:textId="77777777" w:rsidR="00CD4EA0" w:rsidRPr="00CD4EA0" w:rsidRDefault="00CD4EA0" w:rsidP="00CD4EA0">
      <w:pPr>
        <w:spacing w:line="240" w:lineRule="auto"/>
        <w:rPr>
          <w:rFonts w:ascii="Book Antiqua" w:hAnsi="Book Antiqua"/>
          <w:sz w:val="24"/>
          <w:szCs w:val="24"/>
        </w:rPr>
      </w:pPr>
      <w:r w:rsidRPr="00CD4EA0">
        <w:rPr>
          <w:rFonts w:ascii="Book Antiqua" w:hAnsi="Book Antiqua"/>
          <w:sz w:val="24"/>
          <w:szCs w:val="24"/>
        </w:rPr>
        <w:t>_________________________</w:t>
      </w:r>
    </w:p>
    <w:p w14:paraId="43FA22DC" w14:textId="404079DE" w:rsidR="00CD4EA0" w:rsidRPr="00CD4EA0" w:rsidRDefault="00CD4EA0" w:rsidP="00CD4EA0">
      <w:pPr>
        <w:spacing w:line="240" w:lineRule="auto"/>
        <w:rPr>
          <w:rFonts w:ascii="Book Antiqua" w:hAnsi="Book Antiqua"/>
          <w:sz w:val="24"/>
          <w:szCs w:val="24"/>
        </w:rPr>
      </w:pPr>
      <w:r>
        <w:rPr>
          <w:rFonts w:ascii="Book Antiqua" w:hAnsi="Book Antiqua"/>
          <w:sz w:val="24"/>
          <w:szCs w:val="24"/>
        </w:rPr>
        <w:t>Pedro S.N. Guerrero</w:t>
      </w:r>
    </w:p>
    <w:p w14:paraId="2105CA69" w14:textId="6E18387F" w:rsidR="00B34F4F" w:rsidRPr="00E44512" w:rsidRDefault="00CD4EA0" w:rsidP="00CD4EA0">
      <w:pPr>
        <w:spacing w:line="240" w:lineRule="auto"/>
        <w:rPr>
          <w:rFonts w:ascii="Book Antiqua" w:hAnsi="Book Antiqua"/>
          <w:sz w:val="24"/>
          <w:szCs w:val="24"/>
        </w:rPr>
      </w:pPr>
      <w:r w:rsidRPr="00CD4EA0">
        <w:rPr>
          <w:rFonts w:ascii="Book Antiqua" w:hAnsi="Book Antiqua"/>
          <w:sz w:val="24"/>
          <w:szCs w:val="24"/>
        </w:rPr>
        <w:t>Commissioner</w:t>
      </w:r>
    </w:p>
    <w:sectPr w:rsidR="00B34F4F" w:rsidRPr="00E44512" w:rsidSect="00A775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A153" w14:textId="77777777" w:rsidR="00470B0F" w:rsidRDefault="00470B0F">
      <w:pPr>
        <w:spacing w:line="240" w:lineRule="auto"/>
      </w:pPr>
      <w:r>
        <w:separator/>
      </w:r>
    </w:p>
  </w:endnote>
  <w:endnote w:type="continuationSeparator" w:id="0">
    <w:p w14:paraId="0FD5866F" w14:textId="77777777" w:rsidR="00470B0F" w:rsidRDefault="0047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1A40" w14:textId="77777777" w:rsidR="0092463F" w:rsidRDefault="0092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78948"/>
      <w:docPartObj>
        <w:docPartGallery w:val="Page Numbers (Bottom of Page)"/>
        <w:docPartUnique/>
      </w:docPartObj>
    </w:sdtPr>
    <w:sdtEndPr>
      <w:rPr>
        <w:rFonts w:ascii="Book Antiqua" w:hAnsi="Book Antiqua"/>
        <w:noProof/>
        <w:sz w:val="24"/>
        <w:szCs w:val="24"/>
      </w:rPr>
    </w:sdtEndPr>
    <w:sdtContent>
      <w:p w14:paraId="0DE3AE31" w14:textId="77777777" w:rsidR="00A775F7" w:rsidRPr="00A775F7" w:rsidRDefault="00A775F7">
        <w:pPr>
          <w:pStyle w:val="Footer"/>
          <w:jc w:val="center"/>
          <w:rPr>
            <w:rFonts w:ascii="Book Antiqua" w:hAnsi="Book Antiqua"/>
            <w:sz w:val="24"/>
            <w:szCs w:val="24"/>
          </w:rPr>
        </w:pPr>
        <w:r w:rsidRPr="00A775F7">
          <w:rPr>
            <w:rFonts w:ascii="Book Antiqua" w:hAnsi="Book Antiqua"/>
            <w:sz w:val="24"/>
            <w:szCs w:val="24"/>
          </w:rPr>
          <w:fldChar w:fldCharType="begin"/>
        </w:r>
        <w:r w:rsidRPr="00A775F7">
          <w:rPr>
            <w:rFonts w:ascii="Book Antiqua" w:hAnsi="Book Antiqua"/>
            <w:sz w:val="24"/>
            <w:szCs w:val="24"/>
          </w:rPr>
          <w:instrText xml:space="preserve"> PAGE   \* MERGEFORMAT </w:instrText>
        </w:r>
        <w:r w:rsidRPr="00A775F7">
          <w:rPr>
            <w:rFonts w:ascii="Book Antiqua" w:hAnsi="Book Antiqua"/>
            <w:sz w:val="24"/>
            <w:szCs w:val="24"/>
          </w:rPr>
          <w:fldChar w:fldCharType="separate"/>
        </w:r>
        <w:r w:rsidR="007F640F">
          <w:rPr>
            <w:rFonts w:ascii="Book Antiqua" w:hAnsi="Book Antiqua"/>
            <w:noProof/>
            <w:sz w:val="24"/>
            <w:szCs w:val="24"/>
          </w:rPr>
          <w:t>3</w:t>
        </w:r>
        <w:r w:rsidRPr="00A775F7">
          <w:rPr>
            <w:rFonts w:ascii="Book Antiqua" w:hAnsi="Book Antiqua"/>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C36C" w14:textId="77777777" w:rsidR="0092463F" w:rsidRDefault="0092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D5FF" w14:textId="77777777" w:rsidR="00470B0F" w:rsidRDefault="00470B0F">
      <w:pPr>
        <w:spacing w:line="240" w:lineRule="auto"/>
      </w:pPr>
      <w:r>
        <w:separator/>
      </w:r>
    </w:p>
  </w:footnote>
  <w:footnote w:type="continuationSeparator" w:id="0">
    <w:p w14:paraId="4B6FB633" w14:textId="77777777" w:rsidR="00470B0F" w:rsidRDefault="00470B0F">
      <w:pPr>
        <w:spacing w:line="240" w:lineRule="auto"/>
      </w:pPr>
      <w:r>
        <w:continuationSeparator/>
      </w:r>
    </w:p>
  </w:footnote>
  <w:footnote w:id="1">
    <w:p w14:paraId="19E0273F" w14:textId="233349CF" w:rsidR="00513537" w:rsidRDefault="00513537">
      <w:pPr>
        <w:pStyle w:val="FootnoteText"/>
      </w:pPr>
      <w:r>
        <w:rPr>
          <w:rStyle w:val="FootnoteReference"/>
        </w:rPr>
        <w:footnoteRef/>
      </w:r>
      <w:r>
        <w:t xml:space="preserve"> </w:t>
      </w:r>
      <w:bookmarkStart w:id="2" w:name="_Hlk534554012"/>
      <w:r>
        <w:t xml:space="preserve">GPA Petition to </w:t>
      </w:r>
      <w:r w:rsidR="00E703C8">
        <w:t>S</w:t>
      </w:r>
      <w:r>
        <w:t xml:space="preserve">et the </w:t>
      </w:r>
      <w:r w:rsidR="006358F2">
        <w:t xml:space="preserve">Interim </w:t>
      </w:r>
      <w:r>
        <w:t xml:space="preserve">LEAC </w:t>
      </w:r>
      <w:r w:rsidR="00DB4558">
        <w:t>Factor</w:t>
      </w:r>
      <w:r>
        <w:t xml:space="preserve"> effective </w:t>
      </w:r>
      <w:r w:rsidR="006358F2">
        <w:t>April</w:t>
      </w:r>
      <w:r w:rsidR="00F11FC3">
        <w:t xml:space="preserve"> 1</w:t>
      </w:r>
      <w:r>
        <w:t>, 20</w:t>
      </w:r>
      <w:r w:rsidR="00F11FC3">
        <w:t>20</w:t>
      </w:r>
      <w:r>
        <w:t xml:space="preserve">, GPA Docket </w:t>
      </w:r>
      <w:r w:rsidR="00F11FC3">
        <w:t>20</w:t>
      </w:r>
      <w:r>
        <w:t>-</w:t>
      </w:r>
      <w:r w:rsidR="00BA53D8">
        <w:t>12</w:t>
      </w:r>
      <w:r>
        <w:t xml:space="preserve">, filed </w:t>
      </w:r>
      <w:r w:rsidR="00BA53D8">
        <w:t xml:space="preserve">March 24, 2020.  </w:t>
      </w:r>
      <w:r w:rsidR="002629C5">
        <w:t xml:space="preserve"> </w:t>
      </w:r>
    </w:p>
    <w:bookmarkEnd w:id="2"/>
  </w:footnote>
  <w:footnote w:id="2">
    <w:p w14:paraId="4D887E9A" w14:textId="199ECDBA" w:rsidR="00EA7662" w:rsidRDefault="00EA7662">
      <w:pPr>
        <w:pStyle w:val="FootnoteText"/>
      </w:pPr>
      <w:r>
        <w:rPr>
          <w:rStyle w:val="FootnoteReference"/>
        </w:rPr>
        <w:footnoteRef/>
      </w:r>
      <w:r>
        <w:t xml:space="preserve"> </w:t>
      </w:r>
      <w:r w:rsidR="00F11FC3">
        <w:t>Id.</w:t>
      </w:r>
      <w:r w:rsidR="00325C6C">
        <w:t xml:space="preserve"> </w:t>
      </w:r>
    </w:p>
  </w:footnote>
  <w:footnote w:id="3">
    <w:p w14:paraId="6D6A2261" w14:textId="78C6B782" w:rsidR="00950393" w:rsidRDefault="00950393">
      <w:pPr>
        <w:pStyle w:val="FootnoteText"/>
      </w:pPr>
      <w:r>
        <w:rPr>
          <w:rStyle w:val="FootnoteReference"/>
        </w:rPr>
        <w:footnoteRef/>
      </w:r>
      <w:r>
        <w:t xml:space="preserve"> PUC Order, GPA Docket </w:t>
      </w:r>
      <w:r w:rsidR="00053807">
        <w:t>20-03</w:t>
      </w:r>
      <w:r>
        <w:t xml:space="preserve">, dated </w:t>
      </w:r>
      <w:r w:rsidR="00053807">
        <w:t>January 30, 2020</w:t>
      </w:r>
      <w:r>
        <w:t>.</w:t>
      </w:r>
    </w:p>
  </w:footnote>
  <w:footnote w:id="4">
    <w:p w14:paraId="1EE4043D" w14:textId="583D7148" w:rsidR="006D0DB2" w:rsidRDefault="006D0DB2">
      <w:pPr>
        <w:pStyle w:val="FootnoteText"/>
      </w:pPr>
      <w:r>
        <w:rPr>
          <w:rStyle w:val="FootnoteReference"/>
        </w:rPr>
        <w:footnoteRef/>
      </w:r>
      <w:r>
        <w:t xml:space="preserve"> Guam Power Authority Schedule “Z”, Levelized Energy Adjustment Clause (LEAC), Issued Mar</w:t>
      </w:r>
      <w:r w:rsidR="00165E77">
        <w:t>c</w:t>
      </w:r>
      <w:r>
        <w:t>h 21, 1994, Revised March 31, 2012.</w:t>
      </w:r>
    </w:p>
  </w:footnote>
  <w:footnote w:id="5">
    <w:p w14:paraId="5B4D2238" w14:textId="2FCB5848" w:rsidR="0057277D" w:rsidRDefault="0057277D">
      <w:pPr>
        <w:pStyle w:val="FootnoteText"/>
      </w:pPr>
      <w:r>
        <w:rPr>
          <w:rStyle w:val="FootnoteReference"/>
        </w:rPr>
        <w:footnoteRef/>
      </w:r>
      <w:r>
        <w:t xml:space="preserve"> GPA Petition, p. 1.</w:t>
      </w:r>
    </w:p>
  </w:footnote>
  <w:footnote w:id="6">
    <w:p w14:paraId="248C1DCC" w14:textId="6145737D" w:rsidR="00FB2903" w:rsidRDefault="00FB2903">
      <w:pPr>
        <w:pStyle w:val="FootnoteText"/>
      </w:pPr>
      <w:r>
        <w:rPr>
          <w:rStyle w:val="FootnoteReference"/>
        </w:rPr>
        <w:footnoteRef/>
      </w:r>
      <w:r>
        <w:t xml:space="preserve"> </w:t>
      </w:r>
      <w:r w:rsidR="00F1404B">
        <w:t>Guam Consolidated Commission on Utilities Resolution No. 2020-0</w:t>
      </w:r>
      <w:r w:rsidR="00457287">
        <w:t>8</w:t>
      </w:r>
      <w:r w:rsidR="00F1404B">
        <w:t>, Authorizing the Management of the Guam Power Authority to Petition the Guam Public Utilities Commission for Interim Adjustment in the Levelized Energy Adjustment Clause, dated March 24, 2020.</w:t>
      </w:r>
    </w:p>
  </w:footnote>
  <w:footnote w:id="7">
    <w:p w14:paraId="3BC7299A" w14:textId="1C0227E0" w:rsidR="00F1404B" w:rsidRDefault="00F1404B">
      <w:pPr>
        <w:pStyle w:val="FootnoteText"/>
      </w:pPr>
      <w:r>
        <w:rPr>
          <w:rStyle w:val="FootnoteReference"/>
        </w:rPr>
        <w:footnoteRef/>
      </w:r>
      <w:r>
        <w:t xml:space="preserve"> Id.</w:t>
      </w:r>
    </w:p>
  </w:footnote>
  <w:footnote w:id="8">
    <w:p w14:paraId="68A3866D" w14:textId="033803FA" w:rsidR="00457287" w:rsidRDefault="00457287">
      <w:pPr>
        <w:pStyle w:val="FootnoteText"/>
      </w:pPr>
      <w:r>
        <w:rPr>
          <w:rStyle w:val="FootnoteReference"/>
        </w:rPr>
        <w:footnoteRef/>
      </w:r>
      <w:r>
        <w:t xml:space="preserve"> Id.</w:t>
      </w:r>
    </w:p>
  </w:footnote>
  <w:footnote w:id="9">
    <w:p w14:paraId="40B37ED0" w14:textId="5339BDB4" w:rsidR="00B17CD7" w:rsidRDefault="00B17CD7">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9981" w14:textId="77777777" w:rsidR="0092463F" w:rsidRDefault="00924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103B" w14:textId="4C97D24B" w:rsidR="00300F5E" w:rsidRPr="008A0218" w:rsidRDefault="00D82AE9" w:rsidP="00300F5E">
    <w:pPr>
      <w:pStyle w:val="Header"/>
      <w:spacing w:line="240" w:lineRule="auto"/>
      <w:rPr>
        <w:rFonts w:ascii="Book Antiqua" w:hAnsi="Book Antiqua"/>
      </w:rPr>
    </w:pPr>
    <w:r>
      <w:rPr>
        <w:rFonts w:ascii="Book Antiqua" w:hAnsi="Book Antiqua"/>
      </w:rPr>
      <w:t>Order</w:t>
    </w:r>
  </w:p>
  <w:p w14:paraId="305A55AA" w14:textId="77777777" w:rsidR="00875A94" w:rsidRDefault="007125E3" w:rsidP="008A0218">
    <w:pPr>
      <w:pStyle w:val="Header"/>
      <w:spacing w:line="240" w:lineRule="auto"/>
      <w:rPr>
        <w:rFonts w:ascii="Book Antiqua" w:hAnsi="Book Antiqua"/>
      </w:rPr>
    </w:pPr>
    <w:r>
      <w:rPr>
        <w:rFonts w:ascii="Book Antiqua" w:hAnsi="Book Antiqua"/>
      </w:rPr>
      <w:t>GPA’s</w:t>
    </w:r>
    <w:r w:rsidR="002241BD">
      <w:rPr>
        <w:rFonts w:ascii="Book Antiqua" w:hAnsi="Book Antiqua"/>
      </w:rPr>
      <w:t xml:space="preserve"> </w:t>
    </w:r>
    <w:r w:rsidR="00875A94">
      <w:rPr>
        <w:rFonts w:ascii="Book Antiqua" w:hAnsi="Book Antiqua"/>
      </w:rPr>
      <w:t>LEAC</w:t>
    </w:r>
  </w:p>
  <w:p w14:paraId="1495375F" w14:textId="30205CB0" w:rsidR="008A0218" w:rsidRDefault="007558EB" w:rsidP="008A0218">
    <w:pPr>
      <w:pStyle w:val="Header"/>
      <w:spacing w:line="240" w:lineRule="auto"/>
      <w:rPr>
        <w:rFonts w:ascii="Book Antiqua" w:hAnsi="Book Antiqua"/>
      </w:rPr>
    </w:pPr>
    <w:r>
      <w:rPr>
        <w:rFonts w:ascii="Book Antiqua" w:hAnsi="Book Antiqua"/>
      </w:rPr>
      <w:t xml:space="preserve">GPA Docket </w:t>
    </w:r>
    <w:r w:rsidR="003E7FD0">
      <w:rPr>
        <w:rFonts w:ascii="Book Antiqua" w:hAnsi="Book Antiqua"/>
      </w:rPr>
      <w:t>20</w:t>
    </w:r>
    <w:r w:rsidR="0025116D">
      <w:rPr>
        <w:rFonts w:ascii="Book Antiqua" w:hAnsi="Book Antiqua"/>
      </w:rPr>
      <w:t>-</w:t>
    </w:r>
    <w:r w:rsidR="00F52573">
      <w:rPr>
        <w:rFonts w:ascii="Book Antiqua" w:hAnsi="Book Antiqua"/>
      </w:rPr>
      <w:t>12</w:t>
    </w:r>
  </w:p>
  <w:p w14:paraId="3B79FE78" w14:textId="175D3830" w:rsidR="008A0218" w:rsidRDefault="00F52573" w:rsidP="008A0218">
    <w:pPr>
      <w:pStyle w:val="Header"/>
      <w:spacing w:line="240" w:lineRule="auto"/>
      <w:rPr>
        <w:rFonts w:ascii="Book Antiqua" w:hAnsi="Book Antiqua"/>
      </w:rPr>
    </w:pPr>
    <w:r>
      <w:rPr>
        <w:rFonts w:ascii="Book Antiqua" w:hAnsi="Book Antiqua"/>
      </w:rPr>
      <w:t>March 26, 2020</w:t>
    </w:r>
  </w:p>
  <w:p w14:paraId="52241BF5" w14:textId="77777777" w:rsidR="008A0218" w:rsidRDefault="008A0218" w:rsidP="008A0218">
    <w:pPr>
      <w:pStyle w:val="Header"/>
      <w:spacing w:line="240" w:lineRule="auto"/>
      <w:rPr>
        <w:rFonts w:ascii="Book Antiqua" w:hAnsi="Book Antiqua"/>
      </w:rPr>
    </w:pPr>
    <w:r>
      <w:rPr>
        <w:rFonts w:ascii="Book Antiqua" w:hAnsi="Book Antiqua"/>
      </w:rPr>
      <w:t>___________________________________</w:t>
    </w:r>
  </w:p>
  <w:p w14:paraId="4E516217" w14:textId="77777777" w:rsidR="008A0218" w:rsidRPr="008A0218" w:rsidRDefault="008A0218" w:rsidP="008A0218">
    <w:pPr>
      <w:pStyle w:val="Header"/>
      <w:spacing w:line="240" w:lineRule="auto"/>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F811" w14:textId="77777777" w:rsidR="0092463F" w:rsidRDefault="0092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2BEB"/>
    <w:multiLevelType w:val="hybridMultilevel"/>
    <w:tmpl w:val="15DCF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34B00"/>
    <w:multiLevelType w:val="hybridMultilevel"/>
    <w:tmpl w:val="26EA2EE8"/>
    <w:lvl w:ilvl="0" w:tplc="A14A0C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696A18"/>
    <w:multiLevelType w:val="hybridMultilevel"/>
    <w:tmpl w:val="7B24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2E53"/>
    <w:multiLevelType w:val="hybridMultilevel"/>
    <w:tmpl w:val="DD76A116"/>
    <w:lvl w:ilvl="0" w:tplc="F20A059A">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331"/>
    <w:multiLevelType w:val="hybridMultilevel"/>
    <w:tmpl w:val="C5FC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008A"/>
    <w:multiLevelType w:val="hybridMultilevel"/>
    <w:tmpl w:val="942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5C"/>
    <w:multiLevelType w:val="hybridMultilevel"/>
    <w:tmpl w:val="E48A2B84"/>
    <w:lvl w:ilvl="0" w:tplc="0DC2402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5C8A"/>
    <w:multiLevelType w:val="hybridMultilevel"/>
    <w:tmpl w:val="879CD1C8"/>
    <w:lvl w:ilvl="0" w:tplc="68A27EC4">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3108"/>
    <w:multiLevelType w:val="hybridMultilevel"/>
    <w:tmpl w:val="837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07D2"/>
    <w:multiLevelType w:val="hybridMultilevel"/>
    <w:tmpl w:val="6B3C37BA"/>
    <w:lvl w:ilvl="0" w:tplc="862A67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F5C1B"/>
    <w:multiLevelType w:val="hybridMultilevel"/>
    <w:tmpl w:val="A3D0FB88"/>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E6868"/>
    <w:multiLevelType w:val="hybridMultilevel"/>
    <w:tmpl w:val="17BE377E"/>
    <w:lvl w:ilvl="0" w:tplc="7C0C7B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630E"/>
    <w:multiLevelType w:val="hybridMultilevel"/>
    <w:tmpl w:val="977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B96"/>
    <w:multiLevelType w:val="hybridMultilevel"/>
    <w:tmpl w:val="FAECCCE8"/>
    <w:lvl w:ilvl="0" w:tplc="354882D4">
      <w:start w:val="1"/>
      <w:numFmt w:val="decimal"/>
      <w:lvlText w:val="%1."/>
      <w:lvlJc w:val="left"/>
      <w:pPr>
        <w:ind w:left="1152" w:hanging="360"/>
      </w:pPr>
      <w:rPr>
        <w:rFonts w:hint="default"/>
        <w:b w:val="0"/>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6631FA3"/>
    <w:multiLevelType w:val="hybridMultilevel"/>
    <w:tmpl w:val="AED4A88C"/>
    <w:lvl w:ilvl="0" w:tplc="D23259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9703126"/>
    <w:multiLevelType w:val="hybridMultilevel"/>
    <w:tmpl w:val="642087E4"/>
    <w:lvl w:ilvl="0" w:tplc="C270C6F0">
      <w:start w:val="1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B2772"/>
    <w:multiLevelType w:val="hybridMultilevel"/>
    <w:tmpl w:val="124C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C76DD"/>
    <w:multiLevelType w:val="hybridMultilevel"/>
    <w:tmpl w:val="AB1AA6A4"/>
    <w:lvl w:ilvl="0" w:tplc="CFF8DAB4">
      <w:start w:val="2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B110D"/>
    <w:multiLevelType w:val="hybridMultilevel"/>
    <w:tmpl w:val="1408BD5C"/>
    <w:lvl w:ilvl="0" w:tplc="CB32C8DC">
      <w:start w:val="1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9" w15:restartNumberingAfterBreak="0">
    <w:nsid w:val="58F86F11"/>
    <w:multiLevelType w:val="hybridMultilevel"/>
    <w:tmpl w:val="3BD83656"/>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8648F"/>
    <w:multiLevelType w:val="hybridMultilevel"/>
    <w:tmpl w:val="98128C4E"/>
    <w:lvl w:ilvl="0" w:tplc="BACA7E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9126BF"/>
    <w:multiLevelType w:val="hybridMultilevel"/>
    <w:tmpl w:val="617E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1406A"/>
    <w:multiLevelType w:val="hybridMultilevel"/>
    <w:tmpl w:val="B3A083AC"/>
    <w:lvl w:ilvl="0" w:tplc="B630CDBA">
      <w:start w:val="1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86CC3"/>
    <w:multiLevelType w:val="hybridMultilevel"/>
    <w:tmpl w:val="9CACEB88"/>
    <w:lvl w:ilvl="0" w:tplc="0E6CAD0A">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B2AB2"/>
    <w:multiLevelType w:val="hybridMultilevel"/>
    <w:tmpl w:val="40AC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A66BE"/>
    <w:multiLevelType w:val="hybridMultilevel"/>
    <w:tmpl w:val="C9265722"/>
    <w:lvl w:ilvl="0" w:tplc="443E72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E25E5"/>
    <w:multiLevelType w:val="hybridMultilevel"/>
    <w:tmpl w:val="E1C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91D66"/>
    <w:multiLevelType w:val="hybridMultilevel"/>
    <w:tmpl w:val="1F042A40"/>
    <w:lvl w:ilvl="0" w:tplc="04F4522C">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D587D"/>
    <w:multiLevelType w:val="hybridMultilevel"/>
    <w:tmpl w:val="0C2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B7F1D"/>
    <w:multiLevelType w:val="hybridMultilevel"/>
    <w:tmpl w:val="BB949524"/>
    <w:lvl w:ilvl="0" w:tplc="33CEBD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8"/>
  </w:num>
  <w:num w:numId="4">
    <w:abstractNumId w:val="12"/>
  </w:num>
  <w:num w:numId="5">
    <w:abstractNumId w:val="11"/>
  </w:num>
  <w:num w:numId="6">
    <w:abstractNumId w:val="4"/>
  </w:num>
  <w:num w:numId="7">
    <w:abstractNumId w:val="5"/>
  </w:num>
  <w:num w:numId="8">
    <w:abstractNumId w:val="26"/>
  </w:num>
  <w:num w:numId="9">
    <w:abstractNumId w:val="28"/>
  </w:num>
  <w:num w:numId="10">
    <w:abstractNumId w:val="24"/>
  </w:num>
  <w:num w:numId="11">
    <w:abstractNumId w:val="21"/>
  </w:num>
  <w:num w:numId="12">
    <w:abstractNumId w:val="25"/>
  </w:num>
  <w:num w:numId="13">
    <w:abstractNumId w:val="2"/>
  </w:num>
  <w:num w:numId="14">
    <w:abstractNumId w:val="9"/>
  </w:num>
  <w:num w:numId="15">
    <w:abstractNumId w:val="29"/>
  </w:num>
  <w:num w:numId="16">
    <w:abstractNumId w:val="1"/>
  </w:num>
  <w:num w:numId="17">
    <w:abstractNumId w:val="6"/>
  </w:num>
  <w:num w:numId="18">
    <w:abstractNumId w:val="16"/>
  </w:num>
  <w:num w:numId="19">
    <w:abstractNumId w:val="18"/>
  </w:num>
  <w:num w:numId="20">
    <w:abstractNumId w:val="0"/>
  </w:num>
  <w:num w:numId="21">
    <w:abstractNumId w:val="13"/>
  </w:num>
  <w:num w:numId="22">
    <w:abstractNumId w:val="27"/>
  </w:num>
  <w:num w:numId="23">
    <w:abstractNumId w:val="10"/>
  </w:num>
  <w:num w:numId="24">
    <w:abstractNumId w:val="7"/>
  </w:num>
  <w:num w:numId="25">
    <w:abstractNumId w:val="19"/>
  </w:num>
  <w:num w:numId="26">
    <w:abstractNumId w:val="17"/>
  </w:num>
  <w:num w:numId="27">
    <w:abstractNumId w:val="23"/>
  </w:num>
  <w:num w:numId="28">
    <w:abstractNumId w:val="3"/>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940243"/>
    <w:rsid w:val="00002920"/>
    <w:rsid w:val="00003C4D"/>
    <w:rsid w:val="0000482B"/>
    <w:rsid w:val="000052FE"/>
    <w:rsid w:val="000057B6"/>
    <w:rsid w:val="00006168"/>
    <w:rsid w:val="00006D42"/>
    <w:rsid w:val="00006F8C"/>
    <w:rsid w:val="00007FAA"/>
    <w:rsid w:val="000113FD"/>
    <w:rsid w:val="00014E8D"/>
    <w:rsid w:val="00014EA2"/>
    <w:rsid w:val="0001539A"/>
    <w:rsid w:val="00017512"/>
    <w:rsid w:val="000228BD"/>
    <w:rsid w:val="00023945"/>
    <w:rsid w:val="00026A55"/>
    <w:rsid w:val="00026D7E"/>
    <w:rsid w:val="00030A57"/>
    <w:rsid w:val="00035016"/>
    <w:rsid w:val="000407A4"/>
    <w:rsid w:val="00042DCA"/>
    <w:rsid w:val="00042EDE"/>
    <w:rsid w:val="00043E75"/>
    <w:rsid w:val="000473EA"/>
    <w:rsid w:val="00047D9B"/>
    <w:rsid w:val="000511B9"/>
    <w:rsid w:val="00053807"/>
    <w:rsid w:val="000615BB"/>
    <w:rsid w:val="000624BF"/>
    <w:rsid w:val="00065F16"/>
    <w:rsid w:val="0007026D"/>
    <w:rsid w:val="000708CC"/>
    <w:rsid w:val="000711B8"/>
    <w:rsid w:val="000716D1"/>
    <w:rsid w:val="00071B53"/>
    <w:rsid w:val="00072342"/>
    <w:rsid w:val="00072671"/>
    <w:rsid w:val="00074C11"/>
    <w:rsid w:val="00075A84"/>
    <w:rsid w:val="00075C8D"/>
    <w:rsid w:val="00077596"/>
    <w:rsid w:val="00077A98"/>
    <w:rsid w:val="00077B0B"/>
    <w:rsid w:val="00083B77"/>
    <w:rsid w:val="0008518E"/>
    <w:rsid w:val="00086B1B"/>
    <w:rsid w:val="00093C2B"/>
    <w:rsid w:val="00094710"/>
    <w:rsid w:val="00095EEE"/>
    <w:rsid w:val="0009658E"/>
    <w:rsid w:val="00096593"/>
    <w:rsid w:val="000970C9"/>
    <w:rsid w:val="000A18E1"/>
    <w:rsid w:val="000A1CA9"/>
    <w:rsid w:val="000A28C7"/>
    <w:rsid w:val="000A31F1"/>
    <w:rsid w:val="000A3E98"/>
    <w:rsid w:val="000A41AD"/>
    <w:rsid w:val="000A5437"/>
    <w:rsid w:val="000B2083"/>
    <w:rsid w:val="000B292F"/>
    <w:rsid w:val="000B4D04"/>
    <w:rsid w:val="000B68F5"/>
    <w:rsid w:val="000B7E82"/>
    <w:rsid w:val="000C0CB1"/>
    <w:rsid w:val="000C0D45"/>
    <w:rsid w:val="000C176F"/>
    <w:rsid w:val="000C5D0B"/>
    <w:rsid w:val="000C5D33"/>
    <w:rsid w:val="000C61FD"/>
    <w:rsid w:val="000D0977"/>
    <w:rsid w:val="000D0D19"/>
    <w:rsid w:val="000D1156"/>
    <w:rsid w:val="000D2821"/>
    <w:rsid w:val="000D2AC0"/>
    <w:rsid w:val="000D34C9"/>
    <w:rsid w:val="000E0D4D"/>
    <w:rsid w:val="000E346E"/>
    <w:rsid w:val="000E3FB9"/>
    <w:rsid w:val="000E5F1B"/>
    <w:rsid w:val="000E76F6"/>
    <w:rsid w:val="000F05E4"/>
    <w:rsid w:val="000F091A"/>
    <w:rsid w:val="000F1ED2"/>
    <w:rsid w:val="000F2917"/>
    <w:rsid w:val="000F4CB3"/>
    <w:rsid w:val="000F5FBB"/>
    <w:rsid w:val="000F7CB8"/>
    <w:rsid w:val="00106455"/>
    <w:rsid w:val="0010725D"/>
    <w:rsid w:val="0011119C"/>
    <w:rsid w:val="0011475D"/>
    <w:rsid w:val="00116855"/>
    <w:rsid w:val="001170BD"/>
    <w:rsid w:val="00121368"/>
    <w:rsid w:val="0012325B"/>
    <w:rsid w:val="00123E50"/>
    <w:rsid w:val="001249AD"/>
    <w:rsid w:val="001254B7"/>
    <w:rsid w:val="001254EF"/>
    <w:rsid w:val="001272EA"/>
    <w:rsid w:val="0013179C"/>
    <w:rsid w:val="0013479C"/>
    <w:rsid w:val="00135E1F"/>
    <w:rsid w:val="00140155"/>
    <w:rsid w:val="001456D2"/>
    <w:rsid w:val="0015046C"/>
    <w:rsid w:val="0015161D"/>
    <w:rsid w:val="00153522"/>
    <w:rsid w:val="001559F9"/>
    <w:rsid w:val="00155E46"/>
    <w:rsid w:val="00157929"/>
    <w:rsid w:val="00162ECA"/>
    <w:rsid w:val="00164DCA"/>
    <w:rsid w:val="00165E77"/>
    <w:rsid w:val="0016617C"/>
    <w:rsid w:val="001700DF"/>
    <w:rsid w:val="001701CF"/>
    <w:rsid w:val="00170293"/>
    <w:rsid w:val="001710B8"/>
    <w:rsid w:val="0017140A"/>
    <w:rsid w:val="00171E84"/>
    <w:rsid w:val="0017264D"/>
    <w:rsid w:val="00172DF7"/>
    <w:rsid w:val="00174428"/>
    <w:rsid w:val="00176FB1"/>
    <w:rsid w:val="0018007E"/>
    <w:rsid w:val="00181FF6"/>
    <w:rsid w:val="00186684"/>
    <w:rsid w:val="001871BA"/>
    <w:rsid w:val="00191ABC"/>
    <w:rsid w:val="001929D7"/>
    <w:rsid w:val="001932BE"/>
    <w:rsid w:val="001936E6"/>
    <w:rsid w:val="00194CFD"/>
    <w:rsid w:val="001956D2"/>
    <w:rsid w:val="001A0710"/>
    <w:rsid w:val="001A3745"/>
    <w:rsid w:val="001A3AE3"/>
    <w:rsid w:val="001A4C91"/>
    <w:rsid w:val="001A5DCD"/>
    <w:rsid w:val="001A72F6"/>
    <w:rsid w:val="001A7C9A"/>
    <w:rsid w:val="001B0E26"/>
    <w:rsid w:val="001B118D"/>
    <w:rsid w:val="001B42F8"/>
    <w:rsid w:val="001B45C6"/>
    <w:rsid w:val="001B67E5"/>
    <w:rsid w:val="001C00FC"/>
    <w:rsid w:val="001C328D"/>
    <w:rsid w:val="001C32F3"/>
    <w:rsid w:val="001C48B9"/>
    <w:rsid w:val="001C4E5A"/>
    <w:rsid w:val="001C5DEB"/>
    <w:rsid w:val="001C68A9"/>
    <w:rsid w:val="001C770C"/>
    <w:rsid w:val="001D0413"/>
    <w:rsid w:val="001D09E9"/>
    <w:rsid w:val="001D702E"/>
    <w:rsid w:val="001D7576"/>
    <w:rsid w:val="001E02B0"/>
    <w:rsid w:val="001E04BC"/>
    <w:rsid w:val="001E34FF"/>
    <w:rsid w:val="001E547A"/>
    <w:rsid w:val="001E769B"/>
    <w:rsid w:val="001F00CA"/>
    <w:rsid w:val="001F1109"/>
    <w:rsid w:val="001F2425"/>
    <w:rsid w:val="001F37E8"/>
    <w:rsid w:val="001F510B"/>
    <w:rsid w:val="001F58D6"/>
    <w:rsid w:val="001F5F2C"/>
    <w:rsid w:val="00202AB5"/>
    <w:rsid w:val="002035FA"/>
    <w:rsid w:val="0020505C"/>
    <w:rsid w:val="00210EBB"/>
    <w:rsid w:val="00211D4B"/>
    <w:rsid w:val="00211E48"/>
    <w:rsid w:val="00213080"/>
    <w:rsid w:val="00213C8A"/>
    <w:rsid w:val="00214CA6"/>
    <w:rsid w:val="00215529"/>
    <w:rsid w:val="00216076"/>
    <w:rsid w:val="00216228"/>
    <w:rsid w:val="0021798B"/>
    <w:rsid w:val="00223DD6"/>
    <w:rsid w:val="002241BD"/>
    <w:rsid w:val="002249EC"/>
    <w:rsid w:val="00224CB5"/>
    <w:rsid w:val="00225575"/>
    <w:rsid w:val="00225C6E"/>
    <w:rsid w:val="00231613"/>
    <w:rsid w:val="00233DEB"/>
    <w:rsid w:val="00235C1C"/>
    <w:rsid w:val="00236927"/>
    <w:rsid w:val="00236F84"/>
    <w:rsid w:val="00240E80"/>
    <w:rsid w:val="002411A5"/>
    <w:rsid w:val="002415E9"/>
    <w:rsid w:val="00243A1F"/>
    <w:rsid w:val="00245172"/>
    <w:rsid w:val="002479C4"/>
    <w:rsid w:val="0025116D"/>
    <w:rsid w:val="0025174E"/>
    <w:rsid w:val="00252740"/>
    <w:rsid w:val="00252803"/>
    <w:rsid w:val="002531E4"/>
    <w:rsid w:val="0025448C"/>
    <w:rsid w:val="00257DE6"/>
    <w:rsid w:val="002629C5"/>
    <w:rsid w:val="00263313"/>
    <w:rsid w:val="0026412E"/>
    <w:rsid w:val="00266376"/>
    <w:rsid w:val="00266934"/>
    <w:rsid w:val="00270736"/>
    <w:rsid w:val="00270751"/>
    <w:rsid w:val="0027517B"/>
    <w:rsid w:val="002761F7"/>
    <w:rsid w:val="002764E1"/>
    <w:rsid w:val="00277C8B"/>
    <w:rsid w:val="00280F54"/>
    <w:rsid w:val="002848FC"/>
    <w:rsid w:val="002914AC"/>
    <w:rsid w:val="0029184E"/>
    <w:rsid w:val="00291C22"/>
    <w:rsid w:val="0029512A"/>
    <w:rsid w:val="00296873"/>
    <w:rsid w:val="00296C4E"/>
    <w:rsid w:val="00297030"/>
    <w:rsid w:val="002A006E"/>
    <w:rsid w:val="002A46FA"/>
    <w:rsid w:val="002A5FBB"/>
    <w:rsid w:val="002A67C6"/>
    <w:rsid w:val="002A78AD"/>
    <w:rsid w:val="002B1FD1"/>
    <w:rsid w:val="002B2718"/>
    <w:rsid w:val="002B61EB"/>
    <w:rsid w:val="002C093F"/>
    <w:rsid w:val="002C0C78"/>
    <w:rsid w:val="002C2F95"/>
    <w:rsid w:val="002C3345"/>
    <w:rsid w:val="002C3DAC"/>
    <w:rsid w:val="002C40D0"/>
    <w:rsid w:val="002C5ADF"/>
    <w:rsid w:val="002C72D8"/>
    <w:rsid w:val="002D0018"/>
    <w:rsid w:val="002D2DD3"/>
    <w:rsid w:val="002D3F4A"/>
    <w:rsid w:val="002D4BA1"/>
    <w:rsid w:val="002D5BDB"/>
    <w:rsid w:val="002E2C56"/>
    <w:rsid w:val="002E366F"/>
    <w:rsid w:val="002E49F5"/>
    <w:rsid w:val="002E55B0"/>
    <w:rsid w:val="002E55DD"/>
    <w:rsid w:val="002E59A0"/>
    <w:rsid w:val="002F3E35"/>
    <w:rsid w:val="002F41AD"/>
    <w:rsid w:val="002F4F16"/>
    <w:rsid w:val="002F5997"/>
    <w:rsid w:val="002F63A6"/>
    <w:rsid w:val="002F70C8"/>
    <w:rsid w:val="002F7F46"/>
    <w:rsid w:val="00300F5E"/>
    <w:rsid w:val="00304212"/>
    <w:rsid w:val="00306542"/>
    <w:rsid w:val="0030706A"/>
    <w:rsid w:val="00312E42"/>
    <w:rsid w:val="00314B40"/>
    <w:rsid w:val="00314F4E"/>
    <w:rsid w:val="00323099"/>
    <w:rsid w:val="0032447A"/>
    <w:rsid w:val="00324721"/>
    <w:rsid w:val="00325C6C"/>
    <w:rsid w:val="003261BC"/>
    <w:rsid w:val="00327472"/>
    <w:rsid w:val="00327B1D"/>
    <w:rsid w:val="00332016"/>
    <w:rsid w:val="00340C87"/>
    <w:rsid w:val="00341299"/>
    <w:rsid w:val="00345389"/>
    <w:rsid w:val="003454F7"/>
    <w:rsid w:val="003504F2"/>
    <w:rsid w:val="00350F15"/>
    <w:rsid w:val="0035127D"/>
    <w:rsid w:val="00351563"/>
    <w:rsid w:val="003521A7"/>
    <w:rsid w:val="00352206"/>
    <w:rsid w:val="00353F28"/>
    <w:rsid w:val="00360706"/>
    <w:rsid w:val="003763A7"/>
    <w:rsid w:val="003763FA"/>
    <w:rsid w:val="00376C40"/>
    <w:rsid w:val="00376C72"/>
    <w:rsid w:val="00377C72"/>
    <w:rsid w:val="00384980"/>
    <w:rsid w:val="0039118B"/>
    <w:rsid w:val="003932F3"/>
    <w:rsid w:val="00393A6C"/>
    <w:rsid w:val="00393FCE"/>
    <w:rsid w:val="00395667"/>
    <w:rsid w:val="00395B3A"/>
    <w:rsid w:val="003A6E23"/>
    <w:rsid w:val="003A7121"/>
    <w:rsid w:val="003A7145"/>
    <w:rsid w:val="003A7DD3"/>
    <w:rsid w:val="003B022E"/>
    <w:rsid w:val="003B0458"/>
    <w:rsid w:val="003B13BB"/>
    <w:rsid w:val="003B5220"/>
    <w:rsid w:val="003B59FD"/>
    <w:rsid w:val="003C1355"/>
    <w:rsid w:val="003C32D3"/>
    <w:rsid w:val="003C33CD"/>
    <w:rsid w:val="003C5055"/>
    <w:rsid w:val="003C61B2"/>
    <w:rsid w:val="003C723C"/>
    <w:rsid w:val="003D0027"/>
    <w:rsid w:val="003D3C30"/>
    <w:rsid w:val="003D6C8C"/>
    <w:rsid w:val="003E2489"/>
    <w:rsid w:val="003E46DD"/>
    <w:rsid w:val="003E49B7"/>
    <w:rsid w:val="003E6EF4"/>
    <w:rsid w:val="003E75FD"/>
    <w:rsid w:val="003E7FD0"/>
    <w:rsid w:val="003F115F"/>
    <w:rsid w:val="003F7111"/>
    <w:rsid w:val="003F7B65"/>
    <w:rsid w:val="00401F87"/>
    <w:rsid w:val="00402DCC"/>
    <w:rsid w:val="0040323D"/>
    <w:rsid w:val="004056D2"/>
    <w:rsid w:val="0040642C"/>
    <w:rsid w:val="0040706B"/>
    <w:rsid w:val="00407DCE"/>
    <w:rsid w:val="00414A2C"/>
    <w:rsid w:val="00414FF2"/>
    <w:rsid w:val="00415091"/>
    <w:rsid w:val="00416956"/>
    <w:rsid w:val="00417556"/>
    <w:rsid w:val="00420216"/>
    <w:rsid w:val="0042167D"/>
    <w:rsid w:val="004227E8"/>
    <w:rsid w:val="004278ED"/>
    <w:rsid w:val="0042798D"/>
    <w:rsid w:val="00430E7A"/>
    <w:rsid w:val="00431411"/>
    <w:rsid w:val="00431A99"/>
    <w:rsid w:val="00433355"/>
    <w:rsid w:val="0043443B"/>
    <w:rsid w:val="00434B9C"/>
    <w:rsid w:val="00435D28"/>
    <w:rsid w:val="004406AE"/>
    <w:rsid w:val="00440E21"/>
    <w:rsid w:val="004436F5"/>
    <w:rsid w:val="004441E5"/>
    <w:rsid w:val="00444248"/>
    <w:rsid w:val="00444A97"/>
    <w:rsid w:val="00446D6A"/>
    <w:rsid w:val="00452569"/>
    <w:rsid w:val="004547F1"/>
    <w:rsid w:val="0045499E"/>
    <w:rsid w:val="00457287"/>
    <w:rsid w:val="00457B00"/>
    <w:rsid w:val="00457D57"/>
    <w:rsid w:val="00460611"/>
    <w:rsid w:val="0046743A"/>
    <w:rsid w:val="00467AD6"/>
    <w:rsid w:val="00470933"/>
    <w:rsid w:val="00470A4B"/>
    <w:rsid w:val="00470B0F"/>
    <w:rsid w:val="00476BEC"/>
    <w:rsid w:val="00476F7D"/>
    <w:rsid w:val="0048113A"/>
    <w:rsid w:val="00481C32"/>
    <w:rsid w:val="0048353F"/>
    <w:rsid w:val="00493CD7"/>
    <w:rsid w:val="00497787"/>
    <w:rsid w:val="004A41C6"/>
    <w:rsid w:val="004B1ACA"/>
    <w:rsid w:val="004B1FA8"/>
    <w:rsid w:val="004B28E4"/>
    <w:rsid w:val="004B34E5"/>
    <w:rsid w:val="004C0462"/>
    <w:rsid w:val="004C162A"/>
    <w:rsid w:val="004C1726"/>
    <w:rsid w:val="004C2EBF"/>
    <w:rsid w:val="004C4549"/>
    <w:rsid w:val="004D0846"/>
    <w:rsid w:val="004D0D76"/>
    <w:rsid w:val="004D186D"/>
    <w:rsid w:val="004D28BD"/>
    <w:rsid w:val="004D32E1"/>
    <w:rsid w:val="004D344F"/>
    <w:rsid w:val="004D3E72"/>
    <w:rsid w:val="004D585F"/>
    <w:rsid w:val="004D6633"/>
    <w:rsid w:val="004E0123"/>
    <w:rsid w:val="004E218B"/>
    <w:rsid w:val="004E2C8E"/>
    <w:rsid w:val="004E3955"/>
    <w:rsid w:val="004E6C18"/>
    <w:rsid w:val="004E72C6"/>
    <w:rsid w:val="004F06C5"/>
    <w:rsid w:val="004F375C"/>
    <w:rsid w:val="004F747F"/>
    <w:rsid w:val="005024BB"/>
    <w:rsid w:val="00504243"/>
    <w:rsid w:val="00512E5F"/>
    <w:rsid w:val="00513537"/>
    <w:rsid w:val="0051450A"/>
    <w:rsid w:val="00517692"/>
    <w:rsid w:val="00523E6A"/>
    <w:rsid w:val="0052437A"/>
    <w:rsid w:val="00527C00"/>
    <w:rsid w:val="005306D6"/>
    <w:rsid w:val="00532119"/>
    <w:rsid w:val="0053392B"/>
    <w:rsid w:val="00533C72"/>
    <w:rsid w:val="00534900"/>
    <w:rsid w:val="00537AAE"/>
    <w:rsid w:val="005400AC"/>
    <w:rsid w:val="0054210B"/>
    <w:rsid w:val="005440F0"/>
    <w:rsid w:val="00544DE0"/>
    <w:rsid w:val="00546236"/>
    <w:rsid w:val="0054706F"/>
    <w:rsid w:val="00551242"/>
    <w:rsid w:val="00551CE0"/>
    <w:rsid w:val="00552BFA"/>
    <w:rsid w:val="00552F6B"/>
    <w:rsid w:val="00556018"/>
    <w:rsid w:val="0055731F"/>
    <w:rsid w:val="00557337"/>
    <w:rsid w:val="0055782D"/>
    <w:rsid w:val="00557C49"/>
    <w:rsid w:val="005604E6"/>
    <w:rsid w:val="005605F7"/>
    <w:rsid w:val="00560736"/>
    <w:rsid w:val="00563437"/>
    <w:rsid w:val="00565C0F"/>
    <w:rsid w:val="005665BF"/>
    <w:rsid w:val="005667A5"/>
    <w:rsid w:val="005670E0"/>
    <w:rsid w:val="00570681"/>
    <w:rsid w:val="00570CAA"/>
    <w:rsid w:val="00571A2C"/>
    <w:rsid w:val="00572261"/>
    <w:rsid w:val="0057277D"/>
    <w:rsid w:val="00573EDC"/>
    <w:rsid w:val="00574618"/>
    <w:rsid w:val="005762C4"/>
    <w:rsid w:val="0057758B"/>
    <w:rsid w:val="00577879"/>
    <w:rsid w:val="00580233"/>
    <w:rsid w:val="005805CD"/>
    <w:rsid w:val="00580DD7"/>
    <w:rsid w:val="0058123D"/>
    <w:rsid w:val="00581ED3"/>
    <w:rsid w:val="00582B98"/>
    <w:rsid w:val="00583E11"/>
    <w:rsid w:val="005841A9"/>
    <w:rsid w:val="005925FC"/>
    <w:rsid w:val="00593B4B"/>
    <w:rsid w:val="00594F74"/>
    <w:rsid w:val="0059730F"/>
    <w:rsid w:val="00597679"/>
    <w:rsid w:val="005A0400"/>
    <w:rsid w:val="005A0C5A"/>
    <w:rsid w:val="005A3491"/>
    <w:rsid w:val="005A5090"/>
    <w:rsid w:val="005B0367"/>
    <w:rsid w:val="005B266D"/>
    <w:rsid w:val="005B320D"/>
    <w:rsid w:val="005B69A7"/>
    <w:rsid w:val="005C3FD7"/>
    <w:rsid w:val="005C4799"/>
    <w:rsid w:val="005D2FE6"/>
    <w:rsid w:val="005D3C5F"/>
    <w:rsid w:val="005D469D"/>
    <w:rsid w:val="005D5568"/>
    <w:rsid w:val="005E092B"/>
    <w:rsid w:val="005E4607"/>
    <w:rsid w:val="005E5462"/>
    <w:rsid w:val="005E5ECE"/>
    <w:rsid w:val="005E6C87"/>
    <w:rsid w:val="005F0433"/>
    <w:rsid w:val="005F092E"/>
    <w:rsid w:val="005F0D47"/>
    <w:rsid w:val="005F3263"/>
    <w:rsid w:val="005F4B20"/>
    <w:rsid w:val="005F5715"/>
    <w:rsid w:val="005F60B7"/>
    <w:rsid w:val="005F695D"/>
    <w:rsid w:val="00600887"/>
    <w:rsid w:val="00600C1B"/>
    <w:rsid w:val="00602300"/>
    <w:rsid w:val="00602454"/>
    <w:rsid w:val="006034FD"/>
    <w:rsid w:val="00603B72"/>
    <w:rsid w:val="00604FC8"/>
    <w:rsid w:val="0061256C"/>
    <w:rsid w:val="0061284C"/>
    <w:rsid w:val="006134E7"/>
    <w:rsid w:val="006140DC"/>
    <w:rsid w:val="00616BE2"/>
    <w:rsid w:val="00617165"/>
    <w:rsid w:val="00617246"/>
    <w:rsid w:val="0061758F"/>
    <w:rsid w:val="00622239"/>
    <w:rsid w:val="00622E87"/>
    <w:rsid w:val="0062394D"/>
    <w:rsid w:val="00626D06"/>
    <w:rsid w:val="00630396"/>
    <w:rsid w:val="006312D5"/>
    <w:rsid w:val="006319C6"/>
    <w:rsid w:val="00631B77"/>
    <w:rsid w:val="006348D0"/>
    <w:rsid w:val="006358F2"/>
    <w:rsid w:val="00640C96"/>
    <w:rsid w:val="00641A08"/>
    <w:rsid w:val="00642B29"/>
    <w:rsid w:val="006477F4"/>
    <w:rsid w:val="00650039"/>
    <w:rsid w:val="00650379"/>
    <w:rsid w:val="0065310B"/>
    <w:rsid w:val="0065462D"/>
    <w:rsid w:val="00654BA7"/>
    <w:rsid w:val="00654D59"/>
    <w:rsid w:val="00656846"/>
    <w:rsid w:val="006613E2"/>
    <w:rsid w:val="00662A69"/>
    <w:rsid w:val="00663B36"/>
    <w:rsid w:val="00664120"/>
    <w:rsid w:val="00664450"/>
    <w:rsid w:val="00664EED"/>
    <w:rsid w:val="006653ED"/>
    <w:rsid w:val="006663F4"/>
    <w:rsid w:val="0066661F"/>
    <w:rsid w:val="00670837"/>
    <w:rsid w:val="00671C6B"/>
    <w:rsid w:val="006727D0"/>
    <w:rsid w:val="0067695A"/>
    <w:rsid w:val="00676C36"/>
    <w:rsid w:val="006813D5"/>
    <w:rsid w:val="00683050"/>
    <w:rsid w:val="00683957"/>
    <w:rsid w:val="0068554C"/>
    <w:rsid w:val="0068698A"/>
    <w:rsid w:val="00690AF9"/>
    <w:rsid w:val="006917EF"/>
    <w:rsid w:val="00692A15"/>
    <w:rsid w:val="00697B67"/>
    <w:rsid w:val="006A021A"/>
    <w:rsid w:val="006A04B2"/>
    <w:rsid w:val="006A23A3"/>
    <w:rsid w:val="006A32B6"/>
    <w:rsid w:val="006A6B02"/>
    <w:rsid w:val="006A7451"/>
    <w:rsid w:val="006C01AE"/>
    <w:rsid w:val="006C0E1C"/>
    <w:rsid w:val="006C281C"/>
    <w:rsid w:val="006C37F3"/>
    <w:rsid w:val="006D032E"/>
    <w:rsid w:val="006D03A8"/>
    <w:rsid w:val="006D0DB2"/>
    <w:rsid w:val="006D1E7C"/>
    <w:rsid w:val="006E051A"/>
    <w:rsid w:val="006E277A"/>
    <w:rsid w:val="006E39EA"/>
    <w:rsid w:val="006E4735"/>
    <w:rsid w:val="006E5D89"/>
    <w:rsid w:val="006E6A7B"/>
    <w:rsid w:val="006E7C60"/>
    <w:rsid w:val="006F4491"/>
    <w:rsid w:val="006F4EAD"/>
    <w:rsid w:val="00701B09"/>
    <w:rsid w:val="00702A02"/>
    <w:rsid w:val="007030F0"/>
    <w:rsid w:val="00703B8C"/>
    <w:rsid w:val="00704782"/>
    <w:rsid w:val="00707D21"/>
    <w:rsid w:val="007119CA"/>
    <w:rsid w:val="007125E3"/>
    <w:rsid w:val="007153C1"/>
    <w:rsid w:val="007159B5"/>
    <w:rsid w:val="00716429"/>
    <w:rsid w:val="0071746B"/>
    <w:rsid w:val="00720374"/>
    <w:rsid w:val="00720A5D"/>
    <w:rsid w:val="00720C08"/>
    <w:rsid w:val="00722AD5"/>
    <w:rsid w:val="007235AE"/>
    <w:rsid w:val="00723EC9"/>
    <w:rsid w:val="00724DDE"/>
    <w:rsid w:val="00726C78"/>
    <w:rsid w:val="00727573"/>
    <w:rsid w:val="0073549F"/>
    <w:rsid w:val="007403C7"/>
    <w:rsid w:val="00741030"/>
    <w:rsid w:val="0074265C"/>
    <w:rsid w:val="00743FA2"/>
    <w:rsid w:val="00744043"/>
    <w:rsid w:val="00745A01"/>
    <w:rsid w:val="007477B4"/>
    <w:rsid w:val="007512FD"/>
    <w:rsid w:val="00754180"/>
    <w:rsid w:val="007546FA"/>
    <w:rsid w:val="007558EB"/>
    <w:rsid w:val="00755BA4"/>
    <w:rsid w:val="007642BA"/>
    <w:rsid w:val="007646F3"/>
    <w:rsid w:val="00765243"/>
    <w:rsid w:val="00765529"/>
    <w:rsid w:val="007722C6"/>
    <w:rsid w:val="0077279E"/>
    <w:rsid w:val="00773725"/>
    <w:rsid w:val="00775322"/>
    <w:rsid w:val="00780572"/>
    <w:rsid w:val="007817CA"/>
    <w:rsid w:val="00781D04"/>
    <w:rsid w:val="007829BC"/>
    <w:rsid w:val="00783E2E"/>
    <w:rsid w:val="00785B76"/>
    <w:rsid w:val="007867BD"/>
    <w:rsid w:val="00786F81"/>
    <w:rsid w:val="007943DE"/>
    <w:rsid w:val="007948C0"/>
    <w:rsid w:val="00795649"/>
    <w:rsid w:val="00797004"/>
    <w:rsid w:val="00797758"/>
    <w:rsid w:val="00797A63"/>
    <w:rsid w:val="007A0E7B"/>
    <w:rsid w:val="007A1834"/>
    <w:rsid w:val="007A1A73"/>
    <w:rsid w:val="007A2B51"/>
    <w:rsid w:val="007A33F3"/>
    <w:rsid w:val="007A3823"/>
    <w:rsid w:val="007A5CAD"/>
    <w:rsid w:val="007A7722"/>
    <w:rsid w:val="007B0BA9"/>
    <w:rsid w:val="007B1CD0"/>
    <w:rsid w:val="007B3329"/>
    <w:rsid w:val="007B53B5"/>
    <w:rsid w:val="007B6AAD"/>
    <w:rsid w:val="007B6CA3"/>
    <w:rsid w:val="007B778F"/>
    <w:rsid w:val="007C2987"/>
    <w:rsid w:val="007C2F63"/>
    <w:rsid w:val="007C3661"/>
    <w:rsid w:val="007D086E"/>
    <w:rsid w:val="007D0C97"/>
    <w:rsid w:val="007D0F86"/>
    <w:rsid w:val="007D15DB"/>
    <w:rsid w:val="007D2AF8"/>
    <w:rsid w:val="007D35AE"/>
    <w:rsid w:val="007D51CA"/>
    <w:rsid w:val="007D6D0B"/>
    <w:rsid w:val="007D76B6"/>
    <w:rsid w:val="007E151B"/>
    <w:rsid w:val="007E311C"/>
    <w:rsid w:val="007E346A"/>
    <w:rsid w:val="007E3BD0"/>
    <w:rsid w:val="007E464A"/>
    <w:rsid w:val="007E7990"/>
    <w:rsid w:val="007E7CD4"/>
    <w:rsid w:val="007F27F4"/>
    <w:rsid w:val="007F37A6"/>
    <w:rsid w:val="007F4C1A"/>
    <w:rsid w:val="007F640F"/>
    <w:rsid w:val="007F6864"/>
    <w:rsid w:val="007F7F4C"/>
    <w:rsid w:val="00800D85"/>
    <w:rsid w:val="00800ED0"/>
    <w:rsid w:val="00801B5A"/>
    <w:rsid w:val="00801DA3"/>
    <w:rsid w:val="0080234C"/>
    <w:rsid w:val="00805457"/>
    <w:rsid w:val="00805603"/>
    <w:rsid w:val="00806236"/>
    <w:rsid w:val="00806B0C"/>
    <w:rsid w:val="00806FE2"/>
    <w:rsid w:val="00810C5E"/>
    <w:rsid w:val="00811F3E"/>
    <w:rsid w:val="008136B0"/>
    <w:rsid w:val="00816225"/>
    <w:rsid w:val="00816A36"/>
    <w:rsid w:val="0081791C"/>
    <w:rsid w:val="00817A9E"/>
    <w:rsid w:val="00820634"/>
    <w:rsid w:val="00821202"/>
    <w:rsid w:val="00821394"/>
    <w:rsid w:val="00821E0E"/>
    <w:rsid w:val="008220B0"/>
    <w:rsid w:val="00822E4D"/>
    <w:rsid w:val="00831A4B"/>
    <w:rsid w:val="00831F48"/>
    <w:rsid w:val="00832614"/>
    <w:rsid w:val="0083267D"/>
    <w:rsid w:val="0083392F"/>
    <w:rsid w:val="0083649C"/>
    <w:rsid w:val="00836760"/>
    <w:rsid w:val="008376FB"/>
    <w:rsid w:val="008450C5"/>
    <w:rsid w:val="0084758F"/>
    <w:rsid w:val="00847BA2"/>
    <w:rsid w:val="008528CF"/>
    <w:rsid w:val="008530D0"/>
    <w:rsid w:val="0085643E"/>
    <w:rsid w:val="0086062F"/>
    <w:rsid w:val="008620C6"/>
    <w:rsid w:val="00867E68"/>
    <w:rsid w:val="008700A5"/>
    <w:rsid w:val="00872B5B"/>
    <w:rsid w:val="00875A94"/>
    <w:rsid w:val="0087653D"/>
    <w:rsid w:val="00877B08"/>
    <w:rsid w:val="00877F90"/>
    <w:rsid w:val="00881188"/>
    <w:rsid w:val="00885074"/>
    <w:rsid w:val="00885E15"/>
    <w:rsid w:val="0088620F"/>
    <w:rsid w:val="008878C5"/>
    <w:rsid w:val="008878F9"/>
    <w:rsid w:val="00893768"/>
    <w:rsid w:val="008943A4"/>
    <w:rsid w:val="00894445"/>
    <w:rsid w:val="00895429"/>
    <w:rsid w:val="008969C0"/>
    <w:rsid w:val="008969F0"/>
    <w:rsid w:val="00896BFB"/>
    <w:rsid w:val="0089796E"/>
    <w:rsid w:val="008A0218"/>
    <w:rsid w:val="008A1357"/>
    <w:rsid w:val="008A4E4F"/>
    <w:rsid w:val="008A622B"/>
    <w:rsid w:val="008A6797"/>
    <w:rsid w:val="008A7341"/>
    <w:rsid w:val="008A78B4"/>
    <w:rsid w:val="008A7912"/>
    <w:rsid w:val="008A7B28"/>
    <w:rsid w:val="008B024F"/>
    <w:rsid w:val="008B0968"/>
    <w:rsid w:val="008B0C54"/>
    <w:rsid w:val="008B3888"/>
    <w:rsid w:val="008B4977"/>
    <w:rsid w:val="008C10F2"/>
    <w:rsid w:val="008C1366"/>
    <w:rsid w:val="008D0DCE"/>
    <w:rsid w:val="008D3935"/>
    <w:rsid w:val="008D7BE6"/>
    <w:rsid w:val="008E045D"/>
    <w:rsid w:val="008E0BB4"/>
    <w:rsid w:val="008E5A63"/>
    <w:rsid w:val="0090595B"/>
    <w:rsid w:val="00906ADF"/>
    <w:rsid w:val="00910F96"/>
    <w:rsid w:val="00913B77"/>
    <w:rsid w:val="009153E0"/>
    <w:rsid w:val="009162AD"/>
    <w:rsid w:val="009162B4"/>
    <w:rsid w:val="00917D49"/>
    <w:rsid w:val="00920E19"/>
    <w:rsid w:val="00921EA9"/>
    <w:rsid w:val="0092463F"/>
    <w:rsid w:val="0092684E"/>
    <w:rsid w:val="00927E2A"/>
    <w:rsid w:val="00930002"/>
    <w:rsid w:val="00931FAB"/>
    <w:rsid w:val="00935B47"/>
    <w:rsid w:val="00940243"/>
    <w:rsid w:val="009403C9"/>
    <w:rsid w:val="00943B85"/>
    <w:rsid w:val="00943C63"/>
    <w:rsid w:val="0094659F"/>
    <w:rsid w:val="00947302"/>
    <w:rsid w:val="00950393"/>
    <w:rsid w:val="00951301"/>
    <w:rsid w:val="00953DB7"/>
    <w:rsid w:val="009543D6"/>
    <w:rsid w:val="00954EC1"/>
    <w:rsid w:val="0095645F"/>
    <w:rsid w:val="00956885"/>
    <w:rsid w:val="00957603"/>
    <w:rsid w:val="00957775"/>
    <w:rsid w:val="0096065C"/>
    <w:rsid w:val="00960B3C"/>
    <w:rsid w:val="009720C2"/>
    <w:rsid w:val="009748E3"/>
    <w:rsid w:val="009757B9"/>
    <w:rsid w:val="00976E73"/>
    <w:rsid w:val="0098306F"/>
    <w:rsid w:val="00983BB3"/>
    <w:rsid w:val="00985295"/>
    <w:rsid w:val="00986AD1"/>
    <w:rsid w:val="009875ED"/>
    <w:rsid w:val="00987628"/>
    <w:rsid w:val="00990B1C"/>
    <w:rsid w:val="00991C7E"/>
    <w:rsid w:val="00992CC7"/>
    <w:rsid w:val="0099546A"/>
    <w:rsid w:val="009A0879"/>
    <w:rsid w:val="009A593C"/>
    <w:rsid w:val="009A6D15"/>
    <w:rsid w:val="009A6EDB"/>
    <w:rsid w:val="009A76BA"/>
    <w:rsid w:val="009B71FC"/>
    <w:rsid w:val="009C281A"/>
    <w:rsid w:val="009C2C50"/>
    <w:rsid w:val="009C752B"/>
    <w:rsid w:val="009C7AF1"/>
    <w:rsid w:val="009D188A"/>
    <w:rsid w:val="009D1A6A"/>
    <w:rsid w:val="009D2AE7"/>
    <w:rsid w:val="009D2DDE"/>
    <w:rsid w:val="009E1CE6"/>
    <w:rsid w:val="009E2612"/>
    <w:rsid w:val="009E32BB"/>
    <w:rsid w:val="009E3847"/>
    <w:rsid w:val="009E41BC"/>
    <w:rsid w:val="009E5DA8"/>
    <w:rsid w:val="009F0B99"/>
    <w:rsid w:val="009F186A"/>
    <w:rsid w:val="009F1FB1"/>
    <w:rsid w:val="009F2246"/>
    <w:rsid w:val="009F4142"/>
    <w:rsid w:val="009F4989"/>
    <w:rsid w:val="009F7D59"/>
    <w:rsid w:val="009F7E15"/>
    <w:rsid w:val="009F7E72"/>
    <w:rsid w:val="00A00A85"/>
    <w:rsid w:val="00A014E3"/>
    <w:rsid w:val="00A0194D"/>
    <w:rsid w:val="00A02F17"/>
    <w:rsid w:val="00A05564"/>
    <w:rsid w:val="00A0588E"/>
    <w:rsid w:val="00A10E5F"/>
    <w:rsid w:val="00A13DF5"/>
    <w:rsid w:val="00A154D8"/>
    <w:rsid w:val="00A15D50"/>
    <w:rsid w:val="00A22461"/>
    <w:rsid w:val="00A26D4E"/>
    <w:rsid w:val="00A30CEC"/>
    <w:rsid w:val="00A33568"/>
    <w:rsid w:val="00A33FA7"/>
    <w:rsid w:val="00A37BBC"/>
    <w:rsid w:val="00A4078A"/>
    <w:rsid w:val="00A43273"/>
    <w:rsid w:val="00A4338C"/>
    <w:rsid w:val="00A436FC"/>
    <w:rsid w:val="00A43B47"/>
    <w:rsid w:val="00A43C67"/>
    <w:rsid w:val="00A45F6E"/>
    <w:rsid w:val="00A46028"/>
    <w:rsid w:val="00A47ADA"/>
    <w:rsid w:val="00A50EC3"/>
    <w:rsid w:val="00A53714"/>
    <w:rsid w:val="00A54BB4"/>
    <w:rsid w:val="00A56038"/>
    <w:rsid w:val="00A64A3B"/>
    <w:rsid w:val="00A72055"/>
    <w:rsid w:val="00A732B4"/>
    <w:rsid w:val="00A73C32"/>
    <w:rsid w:val="00A7459F"/>
    <w:rsid w:val="00A77589"/>
    <w:rsid w:val="00A775F7"/>
    <w:rsid w:val="00A779CB"/>
    <w:rsid w:val="00A82E78"/>
    <w:rsid w:val="00A8324C"/>
    <w:rsid w:val="00A837C4"/>
    <w:rsid w:val="00A85CFE"/>
    <w:rsid w:val="00A867D8"/>
    <w:rsid w:val="00A9319E"/>
    <w:rsid w:val="00A94042"/>
    <w:rsid w:val="00A946A4"/>
    <w:rsid w:val="00A94823"/>
    <w:rsid w:val="00A973D8"/>
    <w:rsid w:val="00AA0AF0"/>
    <w:rsid w:val="00AA1CFB"/>
    <w:rsid w:val="00AA6D03"/>
    <w:rsid w:val="00AA75DA"/>
    <w:rsid w:val="00AB1687"/>
    <w:rsid w:val="00AB40FD"/>
    <w:rsid w:val="00AB4124"/>
    <w:rsid w:val="00AB671E"/>
    <w:rsid w:val="00AB782E"/>
    <w:rsid w:val="00AB7F84"/>
    <w:rsid w:val="00AC0A97"/>
    <w:rsid w:val="00AC3FB9"/>
    <w:rsid w:val="00AC4FC0"/>
    <w:rsid w:val="00AC58F1"/>
    <w:rsid w:val="00AD0217"/>
    <w:rsid w:val="00AD190B"/>
    <w:rsid w:val="00AD31EB"/>
    <w:rsid w:val="00AD5591"/>
    <w:rsid w:val="00AD5B8E"/>
    <w:rsid w:val="00AD76AE"/>
    <w:rsid w:val="00AE1AA5"/>
    <w:rsid w:val="00AE26A3"/>
    <w:rsid w:val="00AE388B"/>
    <w:rsid w:val="00AE5151"/>
    <w:rsid w:val="00AE6220"/>
    <w:rsid w:val="00AE6ADC"/>
    <w:rsid w:val="00AF07B8"/>
    <w:rsid w:val="00AF1BD6"/>
    <w:rsid w:val="00AF1F4A"/>
    <w:rsid w:val="00AF2F0D"/>
    <w:rsid w:val="00AF425C"/>
    <w:rsid w:val="00AF4AFF"/>
    <w:rsid w:val="00AF4E72"/>
    <w:rsid w:val="00AF51E9"/>
    <w:rsid w:val="00AF723D"/>
    <w:rsid w:val="00B01ACC"/>
    <w:rsid w:val="00B01E77"/>
    <w:rsid w:val="00B07107"/>
    <w:rsid w:val="00B078E5"/>
    <w:rsid w:val="00B127C4"/>
    <w:rsid w:val="00B13843"/>
    <w:rsid w:val="00B146FC"/>
    <w:rsid w:val="00B15EFB"/>
    <w:rsid w:val="00B17CD7"/>
    <w:rsid w:val="00B20F8C"/>
    <w:rsid w:val="00B2290B"/>
    <w:rsid w:val="00B22E00"/>
    <w:rsid w:val="00B25AC0"/>
    <w:rsid w:val="00B27968"/>
    <w:rsid w:val="00B3124F"/>
    <w:rsid w:val="00B322E5"/>
    <w:rsid w:val="00B323FF"/>
    <w:rsid w:val="00B3421E"/>
    <w:rsid w:val="00B34F4F"/>
    <w:rsid w:val="00B35019"/>
    <w:rsid w:val="00B3517B"/>
    <w:rsid w:val="00B367D4"/>
    <w:rsid w:val="00B37CA5"/>
    <w:rsid w:val="00B427AD"/>
    <w:rsid w:val="00B46115"/>
    <w:rsid w:val="00B518B3"/>
    <w:rsid w:val="00B51E45"/>
    <w:rsid w:val="00B5521B"/>
    <w:rsid w:val="00B56CBA"/>
    <w:rsid w:val="00B57863"/>
    <w:rsid w:val="00B609F7"/>
    <w:rsid w:val="00B644F1"/>
    <w:rsid w:val="00B65FF2"/>
    <w:rsid w:val="00B66329"/>
    <w:rsid w:val="00B668B7"/>
    <w:rsid w:val="00B67600"/>
    <w:rsid w:val="00B677E8"/>
    <w:rsid w:val="00B72091"/>
    <w:rsid w:val="00B72D35"/>
    <w:rsid w:val="00B7473C"/>
    <w:rsid w:val="00B74F71"/>
    <w:rsid w:val="00B75429"/>
    <w:rsid w:val="00B755B9"/>
    <w:rsid w:val="00B759BA"/>
    <w:rsid w:val="00B82AE6"/>
    <w:rsid w:val="00B835BA"/>
    <w:rsid w:val="00B835BB"/>
    <w:rsid w:val="00B90B4F"/>
    <w:rsid w:val="00B91907"/>
    <w:rsid w:val="00B92376"/>
    <w:rsid w:val="00B929C8"/>
    <w:rsid w:val="00B95B4B"/>
    <w:rsid w:val="00BA0DF7"/>
    <w:rsid w:val="00BA2472"/>
    <w:rsid w:val="00BA42B8"/>
    <w:rsid w:val="00BA498D"/>
    <w:rsid w:val="00BA53D8"/>
    <w:rsid w:val="00BA73F3"/>
    <w:rsid w:val="00BA75FA"/>
    <w:rsid w:val="00BB128C"/>
    <w:rsid w:val="00BB4D74"/>
    <w:rsid w:val="00BB53F9"/>
    <w:rsid w:val="00BB5BD8"/>
    <w:rsid w:val="00BB652F"/>
    <w:rsid w:val="00BB76BD"/>
    <w:rsid w:val="00BC180E"/>
    <w:rsid w:val="00BC2428"/>
    <w:rsid w:val="00BC3496"/>
    <w:rsid w:val="00BC3A90"/>
    <w:rsid w:val="00BC3CCC"/>
    <w:rsid w:val="00BC430B"/>
    <w:rsid w:val="00BC53D5"/>
    <w:rsid w:val="00BC56C2"/>
    <w:rsid w:val="00BC5D9D"/>
    <w:rsid w:val="00BC609B"/>
    <w:rsid w:val="00BC6A18"/>
    <w:rsid w:val="00BC7B2D"/>
    <w:rsid w:val="00BD0596"/>
    <w:rsid w:val="00BD1BF9"/>
    <w:rsid w:val="00BD1C1B"/>
    <w:rsid w:val="00BD3E6E"/>
    <w:rsid w:val="00BD44C2"/>
    <w:rsid w:val="00BD53C4"/>
    <w:rsid w:val="00BD6177"/>
    <w:rsid w:val="00BD6EAE"/>
    <w:rsid w:val="00BD7300"/>
    <w:rsid w:val="00BE0290"/>
    <w:rsid w:val="00BE24AA"/>
    <w:rsid w:val="00BE478C"/>
    <w:rsid w:val="00BE6533"/>
    <w:rsid w:val="00BE6FF6"/>
    <w:rsid w:val="00BE74FF"/>
    <w:rsid w:val="00BF057E"/>
    <w:rsid w:val="00BF0944"/>
    <w:rsid w:val="00BF0C33"/>
    <w:rsid w:val="00BF0D51"/>
    <w:rsid w:val="00BF1F8E"/>
    <w:rsid w:val="00BF4BD5"/>
    <w:rsid w:val="00C00121"/>
    <w:rsid w:val="00C010B7"/>
    <w:rsid w:val="00C0152C"/>
    <w:rsid w:val="00C0154E"/>
    <w:rsid w:val="00C042E1"/>
    <w:rsid w:val="00C11E4C"/>
    <w:rsid w:val="00C13F47"/>
    <w:rsid w:val="00C14347"/>
    <w:rsid w:val="00C14443"/>
    <w:rsid w:val="00C144B5"/>
    <w:rsid w:val="00C1664D"/>
    <w:rsid w:val="00C17E39"/>
    <w:rsid w:val="00C205CE"/>
    <w:rsid w:val="00C23ACA"/>
    <w:rsid w:val="00C24746"/>
    <w:rsid w:val="00C260B0"/>
    <w:rsid w:val="00C26670"/>
    <w:rsid w:val="00C279B4"/>
    <w:rsid w:val="00C32CBA"/>
    <w:rsid w:val="00C33192"/>
    <w:rsid w:val="00C364AE"/>
    <w:rsid w:val="00C365E4"/>
    <w:rsid w:val="00C40478"/>
    <w:rsid w:val="00C41928"/>
    <w:rsid w:val="00C41F6C"/>
    <w:rsid w:val="00C42047"/>
    <w:rsid w:val="00C43360"/>
    <w:rsid w:val="00C44281"/>
    <w:rsid w:val="00C45F37"/>
    <w:rsid w:val="00C47E9C"/>
    <w:rsid w:val="00C52296"/>
    <w:rsid w:val="00C522CF"/>
    <w:rsid w:val="00C52682"/>
    <w:rsid w:val="00C541D2"/>
    <w:rsid w:val="00C55976"/>
    <w:rsid w:val="00C5641A"/>
    <w:rsid w:val="00C57086"/>
    <w:rsid w:val="00C61640"/>
    <w:rsid w:val="00C63F6E"/>
    <w:rsid w:val="00C63F93"/>
    <w:rsid w:val="00C66796"/>
    <w:rsid w:val="00C67629"/>
    <w:rsid w:val="00C6762D"/>
    <w:rsid w:val="00C72F78"/>
    <w:rsid w:val="00C73A1E"/>
    <w:rsid w:val="00C80065"/>
    <w:rsid w:val="00C80CE9"/>
    <w:rsid w:val="00C82220"/>
    <w:rsid w:val="00C82D5E"/>
    <w:rsid w:val="00C8382E"/>
    <w:rsid w:val="00C86A16"/>
    <w:rsid w:val="00C87DA3"/>
    <w:rsid w:val="00C91E19"/>
    <w:rsid w:val="00C92568"/>
    <w:rsid w:val="00C92CCD"/>
    <w:rsid w:val="00C93A91"/>
    <w:rsid w:val="00C94B68"/>
    <w:rsid w:val="00C9524E"/>
    <w:rsid w:val="00C96CC7"/>
    <w:rsid w:val="00CA0145"/>
    <w:rsid w:val="00CA1267"/>
    <w:rsid w:val="00CA3121"/>
    <w:rsid w:val="00CA66ED"/>
    <w:rsid w:val="00CA7940"/>
    <w:rsid w:val="00CB167B"/>
    <w:rsid w:val="00CB542F"/>
    <w:rsid w:val="00CB5CED"/>
    <w:rsid w:val="00CB7F15"/>
    <w:rsid w:val="00CC0267"/>
    <w:rsid w:val="00CC1AE1"/>
    <w:rsid w:val="00CC6014"/>
    <w:rsid w:val="00CC7649"/>
    <w:rsid w:val="00CD0673"/>
    <w:rsid w:val="00CD4B12"/>
    <w:rsid w:val="00CD4EA0"/>
    <w:rsid w:val="00CD5482"/>
    <w:rsid w:val="00CE0157"/>
    <w:rsid w:val="00CE11F7"/>
    <w:rsid w:val="00CE4400"/>
    <w:rsid w:val="00CE5DD4"/>
    <w:rsid w:val="00CE626B"/>
    <w:rsid w:val="00CE7669"/>
    <w:rsid w:val="00CF3C4D"/>
    <w:rsid w:val="00CF3D93"/>
    <w:rsid w:val="00CF4944"/>
    <w:rsid w:val="00CF632F"/>
    <w:rsid w:val="00CF705B"/>
    <w:rsid w:val="00D01C16"/>
    <w:rsid w:val="00D025DD"/>
    <w:rsid w:val="00D03CF0"/>
    <w:rsid w:val="00D04B8A"/>
    <w:rsid w:val="00D05A14"/>
    <w:rsid w:val="00D10DF3"/>
    <w:rsid w:val="00D1432C"/>
    <w:rsid w:val="00D14D56"/>
    <w:rsid w:val="00D15F67"/>
    <w:rsid w:val="00D15FFA"/>
    <w:rsid w:val="00D205F5"/>
    <w:rsid w:val="00D224DB"/>
    <w:rsid w:val="00D23224"/>
    <w:rsid w:val="00D232D7"/>
    <w:rsid w:val="00D2598A"/>
    <w:rsid w:val="00D34163"/>
    <w:rsid w:val="00D34520"/>
    <w:rsid w:val="00D355D0"/>
    <w:rsid w:val="00D35B49"/>
    <w:rsid w:val="00D365AF"/>
    <w:rsid w:val="00D4020E"/>
    <w:rsid w:val="00D4068C"/>
    <w:rsid w:val="00D44624"/>
    <w:rsid w:val="00D44D99"/>
    <w:rsid w:val="00D4562E"/>
    <w:rsid w:val="00D45E6D"/>
    <w:rsid w:val="00D4739E"/>
    <w:rsid w:val="00D50956"/>
    <w:rsid w:val="00D51E70"/>
    <w:rsid w:val="00D52614"/>
    <w:rsid w:val="00D535CB"/>
    <w:rsid w:val="00D55DB1"/>
    <w:rsid w:val="00D55FB1"/>
    <w:rsid w:val="00D57D14"/>
    <w:rsid w:val="00D6036E"/>
    <w:rsid w:val="00D61FC9"/>
    <w:rsid w:val="00D6312F"/>
    <w:rsid w:val="00D6400D"/>
    <w:rsid w:val="00D64DDC"/>
    <w:rsid w:val="00D6636A"/>
    <w:rsid w:val="00D6685B"/>
    <w:rsid w:val="00D745F7"/>
    <w:rsid w:val="00D77630"/>
    <w:rsid w:val="00D82AE9"/>
    <w:rsid w:val="00D82CC3"/>
    <w:rsid w:val="00D845D3"/>
    <w:rsid w:val="00D9269D"/>
    <w:rsid w:val="00D93281"/>
    <w:rsid w:val="00D94AB0"/>
    <w:rsid w:val="00D95E82"/>
    <w:rsid w:val="00D963D0"/>
    <w:rsid w:val="00D96CDD"/>
    <w:rsid w:val="00DA3570"/>
    <w:rsid w:val="00DA48B1"/>
    <w:rsid w:val="00DA4AB4"/>
    <w:rsid w:val="00DA4D97"/>
    <w:rsid w:val="00DA63FB"/>
    <w:rsid w:val="00DB1617"/>
    <w:rsid w:val="00DB33DD"/>
    <w:rsid w:val="00DB4558"/>
    <w:rsid w:val="00DB4B31"/>
    <w:rsid w:val="00DB778F"/>
    <w:rsid w:val="00DB7E05"/>
    <w:rsid w:val="00DC12EF"/>
    <w:rsid w:val="00DC2171"/>
    <w:rsid w:val="00DC27A6"/>
    <w:rsid w:val="00DC5ECB"/>
    <w:rsid w:val="00DC698A"/>
    <w:rsid w:val="00DC789E"/>
    <w:rsid w:val="00DD1B88"/>
    <w:rsid w:val="00DD2852"/>
    <w:rsid w:val="00DD4359"/>
    <w:rsid w:val="00DD6DF2"/>
    <w:rsid w:val="00DE5042"/>
    <w:rsid w:val="00DE56C4"/>
    <w:rsid w:val="00DE5F5D"/>
    <w:rsid w:val="00DE73B6"/>
    <w:rsid w:val="00DE73B8"/>
    <w:rsid w:val="00DE77A2"/>
    <w:rsid w:val="00DF0895"/>
    <w:rsid w:val="00DF7659"/>
    <w:rsid w:val="00E002BB"/>
    <w:rsid w:val="00E00495"/>
    <w:rsid w:val="00E024F4"/>
    <w:rsid w:val="00E032A8"/>
    <w:rsid w:val="00E04393"/>
    <w:rsid w:val="00E061ED"/>
    <w:rsid w:val="00E0798D"/>
    <w:rsid w:val="00E07EBF"/>
    <w:rsid w:val="00E07EF1"/>
    <w:rsid w:val="00E11BC8"/>
    <w:rsid w:val="00E12D37"/>
    <w:rsid w:val="00E13054"/>
    <w:rsid w:val="00E15227"/>
    <w:rsid w:val="00E268AC"/>
    <w:rsid w:val="00E27BFE"/>
    <w:rsid w:val="00E30466"/>
    <w:rsid w:val="00E31132"/>
    <w:rsid w:val="00E32ADF"/>
    <w:rsid w:val="00E34C23"/>
    <w:rsid w:val="00E35779"/>
    <w:rsid w:val="00E36977"/>
    <w:rsid w:val="00E40252"/>
    <w:rsid w:val="00E40A71"/>
    <w:rsid w:val="00E40DF1"/>
    <w:rsid w:val="00E40FD0"/>
    <w:rsid w:val="00E4103D"/>
    <w:rsid w:val="00E41865"/>
    <w:rsid w:val="00E44512"/>
    <w:rsid w:val="00E46230"/>
    <w:rsid w:val="00E46301"/>
    <w:rsid w:val="00E520F6"/>
    <w:rsid w:val="00E52616"/>
    <w:rsid w:val="00E52905"/>
    <w:rsid w:val="00E5562A"/>
    <w:rsid w:val="00E639BE"/>
    <w:rsid w:val="00E646F1"/>
    <w:rsid w:val="00E675FF"/>
    <w:rsid w:val="00E703C8"/>
    <w:rsid w:val="00E71EF4"/>
    <w:rsid w:val="00E800E0"/>
    <w:rsid w:val="00E80F50"/>
    <w:rsid w:val="00E80FD2"/>
    <w:rsid w:val="00E8202B"/>
    <w:rsid w:val="00E85272"/>
    <w:rsid w:val="00E86981"/>
    <w:rsid w:val="00E90F02"/>
    <w:rsid w:val="00E91240"/>
    <w:rsid w:val="00E91485"/>
    <w:rsid w:val="00E91686"/>
    <w:rsid w:val="00E964AA"/>
    <w:rsid w:val="00E969EC"/>
    <w:rsid w:val="00EA1FA5"/>
    <w:rsid w:val="00EA2882"/>
    <w:rsid w:val="00EA3978"/>
    <w:rsid w:val="00EA60A9"/>
    <w:rsid w:val="00EA7662"/>
    <w:rsid w:val="00EB0749"/>
    <w:rsid w:val="00EB2FA0"/>
    <w:rsid w:val="00EB39A2"/>
    <w:rsid w:val="00EB427B"/>
    <w:rsid w:val="00EB645C"/>
    <w:rsid w:val="00EB6B84"/>
    <w:rsid w:val="00EC09B2"/>
    <w:rsid w:val="00EC0AA5"/>
    <w:rsid w:val="00EC1C52"/>
    <w:rsid w:val="00EC3F4D"/>
    <w:rsid w:val="00ED0D8D"/>
    <w:rsid w:val="00ED1245"/>
    <w:rsid w:val="00ED14C5"/>
    <w:rsid w:val="00ED180D"/>
    <w:rsid w:val="00ED1FF6"/>
    <w:rsid w:val="00ED412B"/>
    <w:rsid w:val="00ED53C1"/>
    <w:rsid w:val="00ED73DF"/>
    <w:rsid w:val="00EE0592"/>
    <w:rsid w:val="00EE25E8"/>
    <w:rsid w:val="00EE478D"/>
    <w:rsid w:val="00EE54E9"/>
    <w:rsid w:val="00EE5788"/>
    <w:rsid w:val="00EF07A8"/>
    <w:rsid w:val="00EF0BC8"/>
    <w:rsid w:val="00EF1B2A"/>
    <w:rsid w:val="00EF2F80"/>
    <w:rsid w:val="00EF4098"/>
    <w:rsid w:val="00EF472E"/>
    <w:rsid w:val="00EF4C3D"/>
    <w:rsid w:val="00EF7A25"/>
    <w:rsid w:val="00F024F1"/>
    <w:rsid w:val="00F0411B"/>
    <w:rsid w:val="00F059A1"/>
    <w:rsid w:val="00F073CD"/>
    <w:rsid w:val="00F11812"/>
    <w:rsid w:val="00F11FC3"/>
    <w:rsid w:val="00F1404B"/>
    <w:rsid w:val="00F159AF"/>
    <w:rsid w:val="00F20E90"/>
    <w:rsid w:val="00F24C78"/>
    <w:rsid w:val="00F25B07"/>
    <w:rsid w:val="00F261BB"/>
    <w:rsid w:val="00F26204"/>
    <w:rsid w:val="00F27461"/>
    <w:rsid w:val="00F276C1"/>
    <w:rsid w:val="00F33682"/>
    <w:rsid w:val="00F34010"/>
    <w:rsid w:val="00F345A9"/>
    <w:rsid w:val="00F375DC"/>
    <w:rsid w:val="00F37B6F"/>
    <w:rsid w:val="00F433D1"/>
    <w:rsid w:val="00F45E4A"/>
    <w:rsid w:val="00F46F8E"/>
    <w:rsid w:val="00F500B1"/>
    <w:rsid w:val="00F51570"/>
    <w:rsid w:val="00F51988"/>
    <w:rsid w:val="00F52573"/>
    <w:rsid w:val="00F53459"/>
    <w:rsid w:val="00F56515"/>
    <w:rsid w:val="00F6140B"/>
    <w:rsid w:val="00F61E70"/>
    <w:rsid w:val="00F61F72"/>
    <w:rsid w:val="00F64281"/>
    <w:rsid w:val="00F64377"/>
    <w:rsid w:val="00F67171"/>
    <w:rsid w:val="00F70330"/>
    <w:rsid w:val="00F70485"/>
    <w:rsid w:val="00F75A77"/>
    <w:rsid w:val="00F75F00"/>
    <w:rsid w:val="00F774E0"/>
    <w:rsid w:val="00F80C2E"/>
    <w:rsid w:val="00F81351"/>
    <w:rsid w:val="00F834C6"/>
    <w:rsid w:val="00F84911"/>
    <w:rsid w:val="00F85B2E"/>
    <w:rsid w:val="00F86791"/>
    <w:rsid w:val="00F86F8C"/>
    <w:rsid w:val="00F876F9"/>
    <w:rsid w:val="00F9026E"/>
    <w:rsid w:val="00F90DE0"/>
    <w:rsid w:val="00F91772"/>
    <w:rsid w:val="00F968E2"/>
    <w:rsid w:val="00F978C5"/>
    <w:rsid w:val="00FA12A6"/>
    <w:rsid w:val="00FB0EC2"/>
    <w:rsid w:val="00FB2903"/>
    <w:rsid w:val="00FB51BB"/>
    <w:rsid w:val="00FB5A7D"/>
    <w:rsid w:val="00FC0443"/>
    <w:rsid w:val="00FC0B0B"/>
    <w:rsid w:val="00FC1A15"/>
    <w:rsid w:val="00FC2163"/>
    <w:rsid w:val="00FC2A4A"/>
    <w:rsid w:val="00FC2EA4"/>
    <w:rsid w:val="00FC4FEA"/>
    <w:rsid w:val="00FC545B"/>
    <w:rsid w:val="00FC57D0"/>
    <w:rsid w:val="00FC5C62"/>
    <w:rsid w:val="00FC6280"/>
    <w:rsid w:val="00FC7FB4"/>
    <w:rsid w:val="00FD23B4"/>
    <w:rsid w:val="00FD5204"/>
    <w:rsid w:val="00FD72E4"/>
    <w:rsid w:val="00FD7A62"/>
    <w:rsid w:val="00FE09D4"/>
    <w:rsid w:val="00FE141E"/>
    <w:rsid w:val="00FE1A99"/>
    <w:rsid w:val="00FE26AD"/>
    <w:rsid w:val="00FE51DD"/>
    <w:rsid w:val="00FE5327"/>
    <w:rsid w:val="00FE7D3C"/>
    <w:rsid w:val="00FF2384"/>
    <w:rsid w:val="00FF53A5"/>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AE022"/>
  <w15:docId w15:val="{67A2F88A-3EB8-4C1D-8E0B-30110E0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AttorneyName">
    <w:name w:val="Attorney Name"/>
    <w:basedOn w:val="SingleSpacing"/>
  </w:style>
  <w:style w:type="paragraph" w:customStyle="1" w:styleId="Signatureblockdate">
    <w:name w:val="Signature block date"/>
    <w:basedOn w:val="Normal"/>
    <w:rsid w:val="00D4068C"/>
    <w:pPr>
      <w:spacing w:line="245" w:lineRule="exact"/>
      <w:ind w:left="4680"/>
    </w:pPr>
  </w:style>
  <w:style w:type="paragraph" w:customStyle="1" w:styleId="Signatureblockline">
    <w:name w:val="Signature block line"/>
    <w:basedOn w:val="Normal"/>
    <w:rsid w:val="00D4068C"/>
    <w:pPr>
      <w:tabs>
        <w:tab w:val="left" w:leader="underscore" w:pos="9360"/>
      </w:tabs>
      <w:spacing w:line="245" w:lineRule="exact"/>
      <w:ind w:left="6000"/>
    </w:pPr>
  </w:style>
  <w:style w:type="paragraph" w:styleId="Header">
    <w:name w:val="header"/>
    <w:basedOn w:val="Normal"/>
    <w:link w:val="HeaderChar"/>
    <w:uiPriority w:val="99"/>
    <w:unhideWhenUsed/>
    <w:rsid w:val="00940243"/>
    <w:pPr>
      <w:tabs>
        <w:tab w:val="center" w:pos="4680"/>
        <w:tab w:val="right" w:pos="9360"/>
      </w:tabs>
    </w:pPr>
  </w:style>
  <w:style w:type="character" w:customStyle="1" w:styleId="HeaderChar">
    <w:name w:val="Header Char"/>
    <w:basedOn w:val="DefaultParagraphFont"/>
    <w:link w:val="Header"/>
    <w:uiPriority w:val="99"/>
    <w:rsid w:val="00940243"/>
    <w:rPr>
      <w:rFonts w:ascii="Courier New" w:hAnsi="Courier New"/>
    </w:rPr>
  </w:style>
  <w:style w:type="paragraph" w:styleId="Footer">
    <w:name w:val="footer"/>
    <w:basedOn w:val="Normal"/>
    <w:link w:val="FooterChar"/>
    <w:uiPriority w:val="99"/>
    <w:unhideWhenUsed/>
    <w:rsid w:val="00940243"/>
    <w:pPr>
      <w:tabs>
        <w:tab w:val="center" w:pos="4680"/>
        <w:tab w:val="right" w:pos="9360"/>
      </w:tabs>
    </w:pPr>
  </w:style>
  <w:style w:type="character" w:customStyle="1" w:styleId="FooterChar">
    <w:name w:val="Footer Char"/>
    <w:basedOn w:val="DefaultParagraphFont"/>
    <w:link w:val="Footer"/>
    <w:uiPriority w:val="99"/>
    <w:rsid w:val="00940243"/>
    <w:rPr>
      <w:rFonts w:ascii="Courier New" w:hAnsi="Courier New"/>
    </w:rPr>
  </w:style>
  <w:style w:type="paragraph" w:styleId="FootnoteText">
    <w:name w:val="footnote text"/>
    <w:basedOn w:val="Normal"/>
    <w:link w:val="FootnoteTextChar"/>
    <w:uiPriority w:val="99"/>
    <w:semiHidden/>
    <w:unhideWhenUsed/>
    <w:rsid w:val="00CF705B"/>
    <w:pPr>
      <w:spacing w:line="240" w:lineRule="auto"/>
    </w:pPr>
    <w:rPr>
      <w:rFonts w:ascii="Book Antiqua" w:hAnsi="Book Antiqua"/>
    </w:rPr>
  </w:style>
  <w:style w:type="character" w:customStyle="1" w:styleId="FootnoteTextChar">
    <w:name w:val="Footnote Text Char"/>
    <w:basedOn w:val="DefaultParagraphFont"/>
    <w:link w:val="FootnoteText"/>
    <w:uiPriority w:val="99"/>
    <w:semiHidden/>
    <w:rsid w:val="00CF705B"/>
    <w:rPr>
      <w:rFonts w:ascii="Book Antiqua" w:hAnsi="Book Antiqua"/>
    </w:rPr>
  </w:style>
  <w:style w:type="character" w:styleId="FootnoteReference">
    <w:name w:val="footnote reference"/>
    <w:basedOn w:val="DefaultParagraphFont"/>
    <w:uiPriority w:val="99"/>
    <w:unhideWhenUsed/>
    <w:rsid w:val="00FE09D4"/>
    <w:rPr>
      <w:vertAlign w:val="superscript"/>
    </w:rPr>
  </w:style>
  <w:style w:type="paragraph" w:styleId="ListParagraph">
    <w:name w:val="List Paragraph"/>
    <w:basedOn w:val="Normal"/>
    <w:uiPriority w:val="34"/>
    <w:qFormat/>
    <w:rsid w:val="004D0846"/>
    <w:pPr>
      <w:ind w:left="720"/>
      <w:contextualSpacing/>
    </w:pPr>
  </w:style>
  <w:style w:type="paragraph" w:styleId="BalloonText">
    <w:name w:val="Balloon Text"/>
    <w:basedOn w:val="Normal"/>
    <w:link w:val="BalloonTextChar"/>
    <w:uiPriority w:val="99"/>
    <w:semiHidden/>
    <w:unhideWhenUsed/>
    <w:rsid w:val="00203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FA"/>
    <w:rPr>
      <w:rFonts w:ascii="Tahoma" w:hAnsi="Tahoma" w:cs="Tahoma"/>
      <w:sz w:val="16"/>
      <w:szCs w:val="16"/>
    </w:rPr>
  </w:style>
  <w:style w:type="character" w:styleId="Hyperlink">
    <w:name w:val="Hyperlink"/>
    <w:basedOn w:val="DefaultParagraphFont"/>
    <w:uiPriority w:val="99"/>
    <w:unhideWhenUsed/>
    <w:rsid w:val="001456D2"/>
    <w:rPr>
      <w:color w:val="0000FF" w:themeColor="hyperlink"/>
      <w:u w:val="single"/>
    </w:rPr>
  </w:style>
  <w:style w:type="table" w:styleId="TableGrid">
    <w:name w:val="Table Grid"/>
    <w:basedOn w:val="TableNormal"/>
    <w:uiPriority w:val="59"/>
    <w:rsid w:val="00D1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1\AppData\Roaming\Microsoft\Templates\Legal%20pleading%20paper%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4D25-3191-42B5-9BAF-79651679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(25 lines)</Template>
  <TotalTime>1</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horecky@ite.net</cp:lastModifiedBy>
  <cp:revision>2</cp:revision>
  <cp:lastPrinted>2019-07-19T03:57:00Z</cp:lastPrinted>
  <dcterms:created xsi:type="dcterms:W3CDTF">2020-09-08T02:33:00Z</dcterms:created>
  <dcterms:modified xsi:type="dcterms:W3CDTF">2020-09-08T02:33:00Z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ies>
</file>