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9BC4E" w14:textId="77777777" w:rsidR="00EB427B" w:rsidRPr="00940243" w:rsidRDefault="00960B3C" w:rsidP="00EB427B">
      <w:pPr>
        <w:pStyle w:val="AttorneyName"/>
        <w:rPr>
          <w:rFonts w:ascii="Book Antiqua" w:hAnsi="Book Antiqua"/>
          <w:sz w:val="24"/>
          <w:szCs w:val="24"/>
        </w:rPr>
      </w:pPr>
      <w:r>
        <w:rPr>
          <w:rFonts w:ascii="Book Antiqua" w:hAnsi="Book Antiqua"/>
          <w:sz w:val="24"/>
          <w:szCs w:val="24"/>
        </w:rPr>
        <w:t xml:space="preserve"> </w:t>
      </w:r>
    </w:p>
    <w:p w14:paraId="00A9EC6F" w14:textId="77777777" w:rsidR="003E75FD" w:rsidRDefault="00940243" w:rsidP="00F90DE0">
      <w:pPr>
        <w:pStyle w:val="AttorneyName"/>
        <w:jc w:val="center"/>
        <w:rPr>
          <w:rFonts w:ascii="Book Antiqua" w:hAnsi="Book Antiqua"/>
          <w:b/>
          <w:sz w:val="24"/>
          <w:szCs w:val="24"/>
        </w:rPr>
      </w:pPr>
      <w:r>
        <w:rPr>
          <w:rFonts w:ascii="Book Antiqua" w:hAnsi="Book Antiqua"/>
          <w:b/>
          <w:sz w:val="24"/>
          <w:szCs w:val="24"/>
        </w:rPr>
        <w:t>BEFORE THE GUAM PUBLIC UTILITIES COMMISSION</w:t>
      </w:r>
    </w:p>
    <w:p w14:paraId="11E0079D" w14:textId="77777777" w:rsidR="00075C8D" w:rsidRPr="00F90DE0" w:rsidRDefault="00075C8D" w:rsidP="00F90DE0">
      <w:pPr>
        <w:pStyle w:val="AttorneyName"/>
        <w:jc w:val="center"/>
        <w:rPr>
          <w:rFonts w:ascii="Book Antiqua" w:hAnsi="Book Antiqua"/>
          <w:b/>
          <w:sz w:val="24"/>
          <w:szCs w:val="24"/>
        </w:rPr>
      </w:pPr>
    </w:p>
    <w:p w14:paraId="5A90C8BC" w14:textId="77777777" w:rsidR="003E75FD" w:rsidRPr="00940243" w:rsidRDefault="003E75FD" w:rsidP="00546236">
      <w:pPr>
        <w:pStyle w:val="AttorneyName"/>
        <w:rPr>
          <w:rFonts w:ascii="Book Antiqua" w:hAnsi="Book Antiqua"/>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EB427B" w:rsidRPr="00940243" w14:paraId="595014FE" w14:textId="77777777">
        <w:tc>
          <w:tcPr>
            <w:tcW w:w="4542" w:type="dxa"/>
            <w:tcBorders>
              <w:bottom w:val="single" w:sz="4" w:space="0" w:color="auto"/>
            </w:tcBorders>
            <w:shd w:val="clear" w:color="auto" w:fill="auto"/>
          </w:tcPr>
          <w:p w14:paraId="7F71AA33" w14:textId="77777777" w:rsidR="00EB427B" w:rsidRDefault="00940243" w:rsidP="00FE09D4">
            <w:pPr>
              <w:tabs>
                <w:tab w:val="left" w:pos="1500"/>
              </w:tabs>
              <w:spacing w:line="240" w:lineRule="auto"/>
              <w:rPr>
                <w:rFonts w:ascii="Book Antiqua" w:hAnsi="Book Antiqua"/>
                <w:sz w:val="24"/>
                <w:szCs w:val="24"/>
              </w:rPr>
            </w:pPr>
            <w:bookmarkStart w:id="0" w:name="Parties"/>
            <w:bookmarkEnd w:id="0"/>
            <w:r>
              <w:rPr>
                <w:rFonts w:ascii="Book Antiqua" w:hAnsi="Book Antiqua"/>
                <w:sz w:val="24"/>
                <w:szCs w:val="24"/>
              </w:rPr>
              <w:t>IN THE MATTER OF:</w:t>
            </w:r>
          </w:p>
          <w:p w14:paraId="469B5D37" w14:textId="77777777" w:rsidR="00FE09D4" w:rsidRDefault="00FE09D4" w:rsidP="00FE09D4">
            <w:pPr>
              <w:tabs>
                <w:tab w:val="left" w:pos="1500"/>
              </w:tabs>
              <w:spacing w:line="240" w:lineRule="auto"/>
              <w:rPr>
                <w:rFonts w:ascii="Book Antiqua" w:hAnsi="Book Antiqua"/>
                <w:sz w:val="24"/>
                <w:szCs w:val="24"/>
              </w:rPr>
            </w:pPr>
          </w:p>
          <w:p w14:paraId="5153D607" w14:textId="77777777" w:rsidR="00E86981" w:rsidRPr="00940243" w:rsidRDefault="00F37B6F" w:rsidP="00755BA4">
            <w:pPr>
              <w:tabs>
                <w:tab w:val="left" w:pos="1500"/>
              </w:tabs>
              <w:spacing w:line="240" w:lineRule="auto"/>
              <w:rPr>
                <w:rFonts w:ascii="Book Antiqua" w:hAnsi="Book Antiqua"/>
                <w:sz w:val="24"/>
                <w:szCs w:val="24"/>
              </w:rPr>
            </w:pPr>
            <w:r>
              <w:rPr>
                <w:rFonts w:ascii="Book Antiqua" w:hAnsi="Book Antiqua"/>
                <w:sz w:val="24"/>
                <w:szCs w:val="24"/>
              </w:rPr>
              <w:t>The Guam Power Authority Levelized Energy Adjustment Clause (LEAC)</w:t>
            </w:r>
          </w:p>
        </w:tc>
        <w:tc>
          <w:tcPr>
            <w:tcW w:w="276" w:type="dxa"/>
            <w:shd w:val="clear" w:color="auto" w:fill="auto"/>
          </w:tcPr>
          <w:p w14:paraId="1846BC96"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6CBD8B80"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3E9D9281"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3E0A3302"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2853ACE5"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2D1C8683"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3A6127B5" w14:textId="77777777" w:rsidR="00EB427B"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tc>
        <w:tc>
          <w:tcPr>
            <w:tcW w:w="4542" w:type="dxa"/>
            <w:shd w:val="clear" w:color="auto" w:fill="auto"/>
          </w:tcPr>
          <w:p w14:paraId="3C3D159C" w14:textId="10B0A04A" w:rsidR="00121368" w:rsidRDefault="002D4BA1" w:rsidP="00FE09D4">
            <w:pPr>
              <w:pStyle w:val="SingleSpacing"/>
              <w:spacing w:line="240" w:lineRule="auto"/>
              <w:rPr>
                <w:rFonts w:ascii="Book Antiqua" w:hAnsi="Book Antiqua"/>
                <w:sz w:val="24"/>
                <w:szCs w:val="24"/>
              </w:rPr>
            </w:pPr>
            <w:bookmarkStart w:id="1" w:name="CaseNumber"/>
            <w:bookmarkEnd w:id="1"/>
            <w:r>
              <w:rPr>
                <w:rFonts w:ascii="Book Antiqua" w:hAnsi="Book Antiqua"/>
                <w:sz w:val="24"/>
                <w:szCs w:val="24"/>
              </w:rPr>
              <w:t xml:space="preserve">GPA Docket </w:t>
            </w:r>
            <w:r w:rsidR="00F11FC3">
              <w:rPr>
                <w:rFonts w:ascii="Book Antiqua" w:hAnsi="Book Antiqua"/>
                <w:sz w:val="24"/>
                <w:szCs w:val="24"/>
              </w:rPr>
              <w:t>20</w:t>
            </w:r>
            <w:r w:rsidR="001C328D">
              <w:rPr>
                <w:rFonts w:ascii="Book Antiqua" w:hAnsi="Book Antiqua"/>
                <w:sz w:val="24"/>
                <w:szCs w:val="24"/>
              </w:rPr>
              <w:t>-</w:t>
            </w:r>
            <w:r w:rsidR="006358F2">
              <w:rPr>
                <w:rFonts w:ascii="Book Antiqua" w:hAnsi="Book Antiqua"/>
                <w:sz w:val="24"/>
                <w:szCs w:val="24"/>
              </w:rPr>
              <w:t>1</w:t>
            </w:r>
            <w:r w:rsidR="002C246E">
              <w:rPr>
                <w:rFonts w:ascii="Book Antiqua" w:hAnsi="Book Antiqua"/>
                <w:sz w:val="24"/>
                <w:szCs w:val="24"/>
              </w:rPr>
              <w:t>3</w:t>
            </w:r>
            <w:r w:rsidR="009F7E72">
              <w:rPr>
                <w:rFonts w:ascii="Book Antiqua" w:hAnsi="Book Antiqua"/>
                <w:sz w:val="24"/>
                <w:szCs w:val="24"/>
              </w:rPr>
              <w:t xml:space="preserve"> </w:t>
            </w:r>
          </w:p>
          <w:p w14:paraId="0E72C6C2" w14:textId="77777777" w:rsidR="00121368" w:rsidRDefault="00121368" w:rsidP="00FE09D4">
            <w:pPr>
              <w:pStyle w:val="SingleSpacing"/>
              <w:spacing w:line="240" w:lineRule="auto"/>
              <w:rPr>
                <w:rFonts w:ascii="Book Antiqua" w:hAnsi="Book Antiqua"/>
                <w:sz w:val="24"/>
                <w:szCs w:val="24"/>
              </w:rPr>
            </w:pPr>
          </w:p>
          <w:p w14:paraId="643FC615" w14:textId="77777777" w:rsidR="009F7E72" w:rsidRPr="00940243" w:rsidRDefault="009F7E72" w:rsidP="00FE09D4">
            <w:pPr>
              <w:pStyle w:val="SingleSpacing"/>
              <w:spacing w:line="240" w:lineRule="auto"/>
              <w:rPr>
                <w:rFonts w:ascii="Book Antiqua" w:hAnsi="Book Antiqua"/>
                <w:sz w:val="24"/>
                <w:szCs w:val="24"/>
              </w:rPr>
            </w:pPr>
          </w:p>
          <w:p w14:paraId="7D9F0A03" w14:textId="3AF691C7" w:rsidR="00EB427B" w:rsidRPr="00FE09D4" w:rsidRDefault="003A0C39" w:rsidP="00FE09D4">
            <w:pPr>
              <w:pStyle w:val="SingleSpacing"/>
              <w:spacing w:line="240" w:lineRule="auto"/>
              <w:rPr>
                <w:rFonts w:ascii="Book Antiqua" w:hAnsi="Book Antiqua"/>
                <w:b/>
                <w:sz w:val="24"/>
                <w:szCs w:val="24"/>
              </w:rPr>
            </w:pPr>
            <w:r>
              <w:rPr>
                <w:rFonts w:ascii="Book Antiqua" w:hAnsi="Book Antiqua"/>
                <w:b/>
                <w:sz w:val="24"/>
                <w:szCs w:val="24"/>
              </w:rPr>
              <w:t>ORDER</w:t>
            </w:r>
          </w:p>
        </w:tc>
      </w:tr>
    </w:tbl>
    <w:p w14:paraId="70423082" w14:textId="77777777" w:rsidR="00FE09D4" w:rsidRDefault="00FE09D4" w:rsidP="00FE09D4">
      <w:pPr>
        <w:spacing w:line="240" w:lineRule="auto"/>
        <w:jc w:val="center"/>
        <w:rPr>
          <w:rFonts w:ascii="Book Antiqua" w:hAnsi="Book Antiqua"/>
          <w:b/>
          <w:sz w:val="24"/>
          <w:szCs w:val="24"/>
          <w:u w:val="single"/>
        </w:rPr>
      </w:pPr>
    </w:p>
    <w:p w14:paraId="364BDC12" w14:textId="77777777" w:rsidR="00121368" w:rsidRDefault="00FE09D4" w:rsidP="00FE09D4">
      <w:pPr>
        <w:spacing w:line="240" w:lineRule="auto"/>
        <w:jc w:val="center"/>
        <w:rPr>
          <w:rFonts w:ascii="Book Antiqua" w:hAnsi="Book Antiqua"/>
          <w:b/>
          <w:sz w:val="24"/>
          <w:szCs w:val="24"/>
          <w:u w:val="single"/>
        </w:rPr>
      </w:pPr>
      <w:r>
        <w:rPr>
          <w:rFonts w:ascii="Book Antiqua" w:hAnsi="Book Antiqua"/>
          <w:b/>
          <w:sz w:val="24"/>
          <w:szCs w:val="24"/>
          <w:u w:val="single"/>
        </w:rPr>
        <w:t>INTRODUCTION</w:t>
      </w:r>
    </w:p>
    <w:p w14:paraId="1746674C" w14:textId="77777777" w:rsidR="00FE09D4" w:rsidRPr="00FE09D4" w:rsidRDefault="00FE09D4" w:rsidP="00FE09D4">
      <w:pPr>
        <w:spacing w:line="240" w:lineRule="auto"/>
        <w:jc w:val="center"/>
        <w:rPr>
          <w:rFonts w:ascii="Book Antiqua" w:hAnsi="Book Antiqua"/>
          <w:b/>
          <w:sz w:val="24"/>
          <w:szCs w:val="24"/>
          <w:u w:val="single"/>
        </w:rPr>
      </w:pPr>
    </w:p>
    <w:p w14:paraId="02F59067" w14:textId="3C983B05" w:rsidR="009A76BA" w:rsidRDefault="00FE09D4" w:rsidP="00174A96">
      <w:pPr>
        <w:pStyle w:val="ListParagraph"/>
        <w:numPr>
          <w:ilvl w:val="0"/>
          <w:numId w:val="27"/>
        </w:numPr>
        <w:spacing w:line="240" w:lineRule="auto"/>
        <w:ind w:left="360"/>
        <w:rPr>
          <w:rFonts w:ascii="Book Antiqua" w:hAnsi="Book Antiqua"/>
          <w:sz w:val="24"/>
          <w:szCs w:val="24"/>
        </w:rPr>
      </w:pPr>
      <w:r w:rsidRPr="00174A96">
        <w:rPr>
          <w:rFonts w:ascii="Book Antiqua" w:hAnsi="Book Antiqua"/>
          <w:sz w:val="24"/>
          <w:szCs w:val="24"/>
        </w:rPr>
        <w:t>This matter comes before the Guam Public Utilities Commissi</w:t>
      </w:r>
      <w:r w:rsidR="000228BD" w:rsidRPr="00174A96">
        <w:rPr>
          <w:rFonts w:ascii="Book Antiqua" w:hAnsi="Book Antiqua"/>
          <w:sz w:val="24"/>
          <w:szCs w:val="24"/>
        </w:rPr>
        <w:t xml:space="preserve">on [“PUC”] upon the </w:t>
      </w:r>
      <w:r w:rsidR="00A43273" w:rsidRPr="00174A96">
        <w:rPr>
          <w:rFonts w:ascii="Book Antiqua" w:hAnsi="Book Antiqua"/>
          <w:sz w:val="24"/>
          <w:szCs w:val="24"/>
        </w:rPr>
        <w:t>Petition of the Guam Power Authority</w:t>
      </w:r>
      <w:r w:rsidR="00513537" w:rsidRPr="00174A96">
        <w:rPr>
          <w:rFonts w:ascii="Book Antiqua" w:hAnsi="Book Antiqua"/>
          <w:sz w:val="24"/>
          <w:szCs w:val="24"/>
        </w:rPr>
        <w:t xml:space="preserve"> </w:t>
      </w:r>
      <w:r w:rsidR="009A0879" w:rsidRPr="00174A96">
        <w:rPr>
          <w:rFonts w:ascii="Book Antiqua" w:hAnsi="Book Antiqua"/>
          <w:sz w:val="24"/>
          <w:szCs w:val="24"/>
        </w:rPr>
        <w:t xml:space="preserve">[“GPA”] </w:t>
      </w:r>
      <w:r w:rsidR="00513537" w:rsidRPr="00174A96">
        <w:rPr>
          <w:rFonts w:ascii="Book Antiqua" w:hAnsi="Book Antiqua"/>
          <w:sz w:val="24"/>
          <w:szCs w:val="24"/>
        </w:rPr>
        <w:t xml:space="preserve">to set </w:t>
      </w:r>
      <w:r w:rsidR="00BA4A87" w:rsidRPr="00174A96">
        <w:rPr>
          <w:rFonts w:ascii="Book Antiqua" w:hAnsi="Book Antiqua"/>
          <w:sz w:val="24"/>
          <w:szCs w:val="24"/>
        </w:rPr>
        <w:t xml:space="preserve">the </w:t>
      </w:r>
      <w:r w:rsidR="00513537" w:rsidRPr="00174A96">
        <w:rPr>
          <w:rFonts w:ascii="Book Antiqua" w:hAnsi="Book Antiqua"/>
          <w:sz w:val="24"/>
          <w:szCs w:val="24"/>
        </w:rPr>
        <w:t xml:space="preserve">LEAC </w:t>
      </w:r>
      <w:r w:rsidR="00DB4558" w:rsidRPr="00174A96">
        <w:rPr>
          <w:rFonts w:ascii="Book Antiqua" w:hAnsi="Book Antiqua"/>
          <w:sz w:val="24"/>
          <w:szCs w:val="24"/>
        </w:rPr>
        <w:t>Factor</w:t>
      </w:r>
      <w:r w:rsidR="00513537" w:rsidRPr="00174A96">
        <w:rPr>
          <w:rFonts w:ascii="Book Antiqua" w:hAnsi="Book Antiqua"/>
          <w:sz w:val="24"/>
          <w:szCs w:val="24"/>
        </w:rPr>
        <w:t xml:space="preserve"> effective </w:t>
      </w:r>
      <w:r w:rsidR="006358F2" w:rsidRPr="00174A96">
        <w:rPr>
          <w:rFonts w:ascii="Book Antiqua" w:hAnsi="Book Antiqua"/>
          <w:sz w:val="24"/>
          <w:szCs w:val="24"/>
        </w:rPr>
        <w:t>A</w:t>
      </w:r>
      <w:r w:rsidR="00BA4A87" w:rsidRPr="00174A96">
        <w:rPr>
          <w:rFonts w:ascii="Book Antiqua" w:hAnsi="Book Antiqua"/>
          <w:sz w:val="24"/>
          <w:szCs w:val="24"/>
        </w:rPr>
        <w:t>ugust</w:t>
      </w:r>
      <w:r w:rsidR="00F11FC3" w:rsidRPr="00174A96">
        <w:rPr>
          <w:rFonts w:ascii="Book Antiqua" w:hAnsi="Book Antiqua"/>
          <w:sz w:val="24"/>
          <w:szCs w:val="24"/>
        </w:rPr>
        <w:t xml:space="preserve"> </w:t>
      </w:r>
      <w:r w:rsidR="006C37F3" w:rsidRPr="00174A96">
        <w:rPr>
          <w:rFonts w:ascii="Book Antiqua" w:hAnsi="Book Antiqua"/>
          <w:sz w:val="24"/>
          <w:szCs w:val="24"/>
        </w:rPr>
        <w:t>1, 2</w:t>
      </w:r>
      <w:r w:rsidR="008B0968" w:rsidRPr="00174A96">
        <w:rPr>
          <w:rFonts w:ascii="Book Antiqua" w:hAnsi="Book Antiqua"/>
          <w:sz w:val="24"/>
          <w:szCs w:val="24"/>
        </w:rPr>
        <w:t>0</w:t>
      </w:r>
      <w:r w:rsidR="00F11FC3" w:rsidRPr="00174A96">
        <w:rPr>
          <w:rFonts w:ascii="Book Antiqua" w:hAnsi="Book Antiqua"/>
          <w:sz w:val="24"/>
          <w:szCs w:val="24"/>
        </w:rPr>
        <w:t>20</w:t>
      </w:r>
      <w:r w:rsidR="008823FF">
        <w:rPr>
          <w:rFonts w:ascii="Book Antiqua" w:hAnsi="Book Antiqua"/>
          <w:sz w:val="24"/>
          <w:szCs w:val="24"/>
        </w:rPr>
        <w:t>, for the next six-month period.</w:t>
      </w:r>
      <w:r w:rsidR="00513537">
        <w:rPr>
          <w:rStyle w:val="FootnoteReference"/>
          <w:rFonts w:ascii="Book Antiqua" w:hAnsi="Book Antiqua"/>
          <w:sz w:val="24"/>
          <w:szCs w:val="24"/>
        </w:rPr>
        <w:footnoteReference w:id="1"/>
      </w:r>
    </w:p>
    <w:p w14:paraId="33068D5F" w14:textId="77777777" w:rsidR="00067959" w:rsidRDefault="00067959" w:rsidP="00067959">
      <w:pPr>
        <w:pStyle w:val="ListParagraph"/>
        <w:spacing w:line="240" w:lineRule="auto"/>
        <w:ind w:left="360"/>
        <w:rPr>
          <w:rFonts w:ascii="Book Antiqua" w:hAnsi="Book Antiqua"/>
          <w:sz w:val="24"/>
          <w:szCs w:val="24"/>
        </w:rPr>
      </w:pPr>
    </w:p>
    <w:p w14:paraId="6FD69B23" w14:textId="612AA8BD" w:rsidR="00174A96" w:rsidRDefault="00174A96" w:rsidP="00174A96">
      <w:pPr>
        <w:pStyle w:val="ListParagraph"/>
        <w:numPr>
          <w:ilvl w:val="0"/>
          <w:numId w:val="27"/>
        </w:numPr>
        <w:spacing w:line="240" w:lineRule="auto"/>
        <w:ind w:left="360"/>
        <w:rPr>
          <w:rFonts w:ascii="Book Antiqua" w:hAnsi="Book Antiqua"/>
          <w:sz w:val="24"/>
          <w:szCs w:val="24"/>
        </w:rPr>
      </w:pPr>
      <w:r>
        <w:rPr>
          <w:rFonts w:ascii="Book Antiqua" w:hAnsi="Book Antiqua"/>
          <w:sz w:val="24"/>
          <w:szCs w:val="24"/>
        </w:rPr>
        <w:t>GPA’s Petit</w:t>
      </w:r>
      <w:r w:rsidR="008823FF">
        <w:rPr>
          <w:rFonts w:ascii="Book Antiqua" w:hAnsi="Book Antiqua"/>
          <w:sz w:val="24"/>
          <w:szCs w:val="24"/>
        </w:rPr>
        <w:t xml:space="preserve">ion </w:t>
      </w:r>
      <w:r w:rsidR="00C544B5">
        <w:rPr>
          <w:rFonts w:ascii="Book Antiqua" w:hAnsi="Book Antiqua"/>
          <w:sz w:val="24"/>
          <w:szCs w:val="24"/>
        </w:rPr>
        <w:t xml:space="preserve">filed on May 22, 2020, </w:t>
      </w:r>
      <w:r>
        <w:rPr>
          <w:rFonts w:ascii="Book Antiqua" w:hAnsi="Book Antiqua"/>
          <w:sz w:val="24"/>
          <w:szCs w:val="24"/>
        </w:rPr>
        <w:t>requested that the Guam PUC</w:t>
      </w:r>
      <w:r w:rsidR="00067959">
        <w:rPr>
          <w:rFonts w:ascii="Book Antiqua" w:hAnsi="Book Antiqua"/>
          <w:sz w:val="24"/>
          <w:szCs w:val="24"/>
        </w:rPr>
        <w:t xml:space="preserve"> maintain a Fuel Recovery Factor at $.089177/kWh for the </w:t>
      </w:r>
      <w:r w:rsidR="008823FF">
        <w:rPr>
          <w:rFonts w:ascii="Book Antiqua" w:hAnsi="Book Antiqua"/>
          <w:sz w:val="24"/>
          <w:szCs w:val="24"/>
        </w:rPr>
        <w:t xml:space="preserve">upcoming LEAC </w:t>
      </w:r>
      <w:r w:rsidR="00067959">
        <w:rPr>
          <w:rFonts w:ascii="Book Antiqua" w:hAnsi="Book Antiqua"/>
          <w:sz w:val="24"/>
          <w:szCs w:val="24"/>
        </w:rPr>
        <w:t>period</w:t>
      </w:r>
      <w:r w:rsidR="008823FF">
        <w:rPr>
          <w:rFonts w:ascii="Book Antiqua" w:hAnsi="Book Antiqua"/>
          <w:sz w:val="24"/>
          <w:szCs w:val="24"/>
        </w:rPr>
        <w:t>.</w:t>
      </w:r>
      <w:r w:rsidR="00067959">
        <w:rPr>
          <w:rStyle w:val="FootnoteReference"/>
          <w:rFonts w:ascii="Book Antiqua" w:hAnsi="Book Antiqua"/>
          <w:sz w:val="24"/>
          <w:szCs w:val="24"/>
        </w:rPr>
        <w:footnoteReference w:id="2"/>
      </w:r>
      <w:r w:rsidR="00067959">
        <w:rPr>
          <w:rFonts w:ascii="Book Antiqua" w:hAnsi="Book Antiqua"/>
          <w:sz w:val="24"/>
          <w:szCs w:val="24"/>
        </w:rPr>
        <w:t xml:space="preserve"> </w:t>
      </w:r>
    </w:p>
    <w:p w14:paraId="37564A39" w14:textId="77777777" w:rsidR="00C64423" w:rsidRDefault="00C64423" w:rsidP="00C64423">
      <w:pPr>
        <w:pStyle w:val="ListParagraph"/>
        <w:spacing w:line="240" w:lineRule="auto"/>
        <w:ind w:left="360"/>
        <w:rPr>
          <w:rFonts w:ascii="Book Antiqua" w:hAnsi="Book Antiqua"/>
          <w:sz w:val="24"/>
          <w:szCs w:val="24"/>
        </w:rPr>
      </w:pPr>
    </w:p>
    <w:p w14:paraId="4D8DE7A4" w14:textId="68FEE46F" w:rsidR="00985295" w:rsidRDefault="00B96AEB" w:rsidP="00B17ACC">
      <w:pPr>
        <w:pStyle w:val="ListParagraph"/>
        <w:numPr>
          <w:ilvl w:val="0"/>
          <w:numId w:val="27"/>
        </w:numPr>
        <w:spacing w:line="240" w:lineRule="auto"/>
        <w:ind w:left="432" w:hanging="432"/>
        <w:rPr>
          <w:rFonts w:ascii="Book Antiqua" w:hAnsi="Book Antiqua"/>
          <w:sz w:val="24"/>
          <w:szCs w:val="24"/>
        </w:rPr>
      </w:pPr>
      <w:r w:rsidRPr="001A7BC0">
        <w:rPr>
          <w:rFonts w:ascii="Book Antiqua" w:hAnsi="Book Antiqua"/>
          <w:sz w:val="24"/>
          <w:szCs w:val="24"/>
        </w:rPr>
        <w:t>However, after GPA completed its updated Morgan Stanley Noon Call Pricing on July 20, 2020, it recognized that there had been a substantial increase in the cost of fuel</w:t>
      </w:r>
      <w:r w:rsidR="00C544B5" w:rsidRPr="001A7BC0">
        <w:rPr>
          <w:rFonts w:ascii="Book Antiqua" w:hAnsi="Book Antiqua"/>
          <w:sz w:val="24"/>
          <w:szCs w:val="24"/>
        </w:rPr>
        <w:t xml:space="preserve">.  GPA filed with the PUC an updated request that the </w:t>
      </w:r>
      <w:r w:rsidRPr="001A7BC0">
        <w:rPr>
          <w:rFonts w:ascii="Book Antiqua" w:hAnsi="Book Antiqua"/>
          <w:sz w:val="24"/>
          <w:szCs w:val="24"/>
        </w:rPr>
        <w:t xml:space="preserve">LEAC Factor </w:t>
      </w:r>
      <w:r w:rsidR="00C544B5" w:rsidRPr="001A7BC0">
        <w:rPr>
          <w:rFonts w:ascii="Book Antiqua" w:hAnsi="Book Antiqua"/>
          <w:sz w:val="24"/>
          <w:szCs w:val="24"/>
        </w:rPr>
        <w:t>be set at</w:t>
      </w:r>
      <w:r w:rsidRPr="001A7BC0">
        <w:rPr>
          <w:rFonts w:ascii="Book Antiqua" w:hAnsi="Book Antiqua"/>
          <w:sz w:val="24"/>
          <w:szCs w:val="24"/>
        </w:rPr>
        <w:t xml:space="preserve"> $0.114568 for the period of August 1, 2020 through January 31, 2021</w:t>
      </w:r>
      <w:r w:rsidR="00C544B5" w:rsidRPr="001A7BC0">
        <w:rPr>
          <w:rFonts w:ascii="Book Antiqua" w:hAnsi="Book Antiqua"/>
          <w:sz w:val="24"/>
          <w:szCs w:val="24"/>
        </w:rPr>
        <w:t xml:space="preserve"> to fully recover the cost of fuel</w:t>
      </w:r>
      <w:r w:rsidRPr="001A7BC0">
        <w:rPr>
          <w:rFonts w:ascii="Book Antiqua" w:hAnsi="Book Antiqua"/>
          <w:sz w:val="24"/>
          <w:szCs w:val="24"/>
        </w:rPr>
        <w:t>.</w:t>
      </w:r>
      <w:r>
        <w:rPr>
          <w:rStyle w:val="FootnoteReference"/>
          <w:rFonts w:ascii="Book Antiqua" w:hAnsi="Book Antiqua"/>
          <w:sz w:val="24"/>
          <w:szCs w:val="24"/>
        </w:rPr>
        <w:footnoteReference w:id="3"/>
      </w:r>
      <w:r w:rsidR="007E5D5C" w:rsidRPr="001A7BC0">
        <w:rPr>
          <w:rFonts w:ascii="Book Antiqua" w:hAnsi="Book Antiqua"/>
          <w:sz w:val="24"/>
          <w:szCs w:val="24"/>
        </w:rPr>
        <w:t xml:space="preserve">  </w:t>
      </w:r>
    </w:p>
    <w:p w14:paraId="233EF7CE" w14:textId="77777777" w:rsidR="001A7BC0" w:rsidRPr="001A7BC0" w:rsidRDefault="001A7BC0" w:rsidP="001A7BC0">
      <w:pPr>
        <w:pStyle w:val="ListParagraph"/>
        <w:spacing w:line="240" w:lineRule="auto"/>
        <w:ind w:left="432"/>
        <w:rPr>
          <w:rFonts w:ascii="Book Antiqua" w:hAnsi="Book Antiqua"/>
          <w:sz w:val="24"/>
          <w:szCs w:val="24"/>
        </w:rPr>
      </w:pPr>
    </w:p>
    <w:p w14:paraId="57FC4F6D" w14:textId="77777777" w:rsidR="00593B4B" w:rsidRDefault="00593B4B" w:rsidP="00885074">
      <w:pPr>
        <w:spacing w:line="240" w:lineRule="auto"/>
        <w:jc w:val="center"/>
        <w:rPr>
          <w:rFonts w:ascii="Book Antiqua" w:hAnsi="Book Antiqua"/>
          <w:b/>
          <w:sz w:val="24"/>
          <w:szCs w:val="24"/>
          <w:u w:val="single"/>
        </w:rPr>
      </w:pPr>
      <w:r>
        <w:rPr>
          <w:rFonts w:ascii="Book Antiqua" w:hAnsi="Book Antiqua"/>
          <w:b/>
          <w:sz w:val="24"/>
          <w:szCs w:val="24"/>
          <w:u w:val="single"/>
        </w:rPr>
        <w:t>BACKGROUND</w:t>
      </w:r>
    </w:p>
    <w:p w14:paraId="057FE211" w14:textId="77777777" w:rsidR="008A622B" w:rsidRDefault="008A622B" w:rsidP="00F876F9">
      <w:pPr>
        <w:spacing w:line="240" w:lineRule="auto"/>
        <w:ind w:left="432" w:hanging="432"/>
        <w:rPr>
          <w:rFonts w:ascii="Book Antiqua" w:hAnsi="Book Antiqua"/>
          <w:sz w:val="24"/>
          <w:szCs w:val="24"/>
        </w:rPr>
      </w:pPr>
    </w:p>
    <w:p w14:paraId="1E77EEAE" w14:textId="1737DC5B" w:rsidR="00C9524E" w:rsidRDefault="00C92823" w:rsidP="00C92823">
      <w:pPr>
        <w:pStyle w:val="ListParagraph"/>
        <w:numPr>
          <w:ilvl w:val="0"/>
          <w:numId w:val="27"/>
        </w:numPr>
        <w:spacing w:line="240" w:lineRule="auto"/>
        <w:ind w:left="360"/>
        <w:rPr>
          <w:rFonts w:ascii="Book Antiqua" w:hAnsi="Book Antiqua"/>
          <w:sz w:val="24"/>
          <w:szCs w:val="24"/>
        </w:rPr>
      </w:pPr>
      <w:r>
        <w:rPr>
          <w:rFonts w:ascii="Book Antiqua" w:hAnsi="Book Antiqua"/>
          <w:sz w:val="24"/>
          <w:szCs w:val="24"/>
        </w:rPr>
        <w:t xml:space="preserve">During the past </w:t>
      </w:r>
      <w:r w:rsidR="00474E3E">
        <w:rPr>
          <w:rFonts w:ascii="Book Antiqua" w:hAnsi="Book Antiqua"/>
          <w:sz w:val="24"/>
          <w:szCs w:val="24"/>
        </w:rPr>
        <w:t>6-month</w:t>
      </w:r>
      <w:r>
        <w:rPr>
          <w:rFonts w:ascii="Book Antiqua" w:hAnsi="Book Antiqua"/>
          <w:sz w:val="24"/>
          <w:szCs w:val="24"/>
        </w:rPr>
        <w:t xml:space="preserve"> LEAC period </w:t>
      </w:r>
      <w:r w:rsidR="00F75133">
        <w:rPr>
          <w:rFonts w:ascii="Book Antiqua" w:hAnsi="Book Antiqua"/>
          <w:sz w:val="24"/>
          <w:szCs w:val="24"/>
        </w:rPr>
        <w:t xml:space="preserve">commencing </w:t>
      </w:r>
      <w:r>
        <w:rPr>
          <w:rFonts w:ascii="Book Antiqua" w:hAnsi="Book Antiqua"/>
          <w:sz w:val="24"/>
          <w:szCs w:val="24"/>
        </w:rPr>
        <w:t xml:space="preserve">February 1, 2020, </w:t>
      </w:r>
      <w:r w:rsidR="00474E3E">
        <w:rPr>
          <w:rFonts w:ascii="Book Antiqua" w:hAnsi="Book Antiqua"/>
          <w:sz w:val="24"/>
          <w:szCs w:val="24"/>
        </w:rPr>
        <w:t xml:space="preserve">the PUC addressed the LEAC Factor on three occasions as a result of steep declines in fuel prices.  During </w:t>
      </w:r>
      <w:r w:rsidR="002511F9">
        <w:rPr>
          <w:rFonts w:ascii="Book Antiqua" w:hAnsi="Book Antiqua"/>
          <w:sz w:val="24"/>
          <w:szCs w:val="24"/>
        </w:rPr>
        <w:t>such</w:t>
      </w:r>
      <w:r w:rsidR="00474E3E">
        <w:rPr>
          <w:rFonts w:ascii="Book Antiqua" w:hAnsi="Book Antiqua"/>
          <w:sz w:val="24"/>
          <w:szCs w:val="24"/>
        </w:rPr>
        <w:t xml:space="preserve"> period, the PUC reduced the LEAC Factor from $0.154242/kWh to $0.086800.</w:t>
      </w:r>
      <w:r w:rsidR="00474E3E">
        <w:rPr>
          <w:rStyle w:val="FootnoteReference"/>
          <w:rFonts w:ascii="Book Antiqua" w:hAnsi="Book Antiqua"/>
          <w:sz w:val="24"/>
          <w:szCs w:val="24"/>
        </w:rPr>
        <w:footnoteReference w:id="4"/>
      </w:r>
    </w:p>
    <w:p w14:paraId="5B2AF058" w14:textId="4836AF93" w:rsidR="006B0DE1" w:rsidRDefault="006B0DE1" w:rsidP="00C92823">
      <w:pPr>
        <w:pStyle w:val="ListParagraph"/>
        <w:numPr>
          <w:ilvl w:val="0"/>
          <w:numId w:val="27"/>
        </w:numPr>
        <w:spacing w:line="240" w:lineRule="auto"/>
        <w:ind w:left="360"/>
        <w:rPr>
          <w:rFonts w:ascii="Book Antiqua" w:hAnsi="Book Antiqua"/>
          <w:sz w:val="24"/>
          <w:szCs w:val="24"/>
        </w:rPr>
      </w:pPr>
      <w:r>
        <w:rPr>
          <w:rFonts w:ascii="Book Antiqua" w:hAnsi="Book Antiqua"/>
          <w:sz w:val="24"/>
          <w:szCs w:val="24"/>
        </w:rPr>
        <w:lastRenderedPageBreak/>
        <w:t xml:space="preserve">During the prior LEAC period there </w:t>
      </w:r>
      <w:r w:rsidR="00074718">
        <w:rPr>
          <w:rFonts w:ascii="Book Antiqua" w:hAnsi="Book Antiqua"/>
          <w:sz w:val="24"/>
          <w:szCs w:val="24"/>
        </w:rPr>
        <w:t>was</w:t>
      </w:r>
      <w:r>
        <w:rPr>
          <w:rFonts w:ascii="Book Antiqua" w:hAnsi="Book Antiqua"/>
          <w:sz w:val="24"/>
          <w:szCs w:val="24"/>
        </w:rPr>
        <w:t xml:space="preserve"> a </w:t>
      </w:r>
      <w:r w:rsidR="00E8702D">
        <w:rPr>
          <w:rFonts w:ascii="Book Antiqua" w:hAnsi="Book Antiqua"/>
          <w:sz w:val="24"/>
          <w:szCs w:val="24"/>
        </w:rPr>
        <w:t>nearly</w:t>
      </w:r>
      <w:r>
        <w:rPr>
          <w:rFonts w:ascii="Book Antiqua" w:hAnsi="Book Antiqua"/>
          <w:sz w:val="24"/>
          <w:szCs w:val="24"/>
        </w:rPr>
        <w:t xml:space="preserve"> 50% reduction in the price of fuel.  GPA’s fuel pricing figures (per barrel) indicated a price of $55.47 for February 2020 and $30.48 for May 2020.</w:t>
      </w:r>
      <w:r>
        <w:rPr>
          <w:rStyle w:val="FootnoteReference"/>
          <w:rFonts w:ascii="Book Antiqua" w:hAnsi="Book Antiqua"/>
          <w:sz w:val="24"/>
          <w:szCs w:val="24"/>
        </w:rPr>
        <w:footnoteReference w:id="5"/>
      </w:r>
    </w:p>
    <w:p w14:paraId="6887DA42" w14:textId="77777777" w:rsidR="002511F9" w:rsidRDefault="002511F9" w:rsidP="002511F9">
      <w:pPr>
        <w:pStyle w:val="ListParagraph"/>
        <w:spacing w:line="240" w:lineRule="auto"/>
        <w:ind w:left="360"/>
        <w:rPr>
          <w:rFonts w:ascii="Book Antiqua" w:hAnsi="Book Antiqua"/>
          <w:sz w:val="24"/>
          <w:szCs w:val="24"/>
        </w:rPr>
      </w:pPr>
    </w:p>
    <w:p w14:paraId="02261296" w14:textId="64F885A5" w:rsidR="002511F9" w:rsidRDefault="002511F9" w:rsidP="00C92823">
      <w:pPr>
        <w:pStyle w:val="ListParagraph"/>
        <w:numPr>
          <w:ilvl w:val="0"/>
          <w:numId w:val="27"/>
        </w:numPr>
        <w:spacing w:line="240" w:lineRule="auto"/>
        <w:ind w:left="360"/>
        <w:rPr>
          <w:rFonts w:ascii="Book Antiqua" w:hAnsi="Book Antiqua"/>
          <w:sz w:val="24"/>
          <w:szCs w:val="24"/>
        </w:rPr>
      </w:pPr>
      <w:r>
        <w:rPr>
          <w:rFonts w:ascii="Book Antiqua" w:hAnsi="Book Antiqua"/>
          <w:sz w:val="24"/>
          <w:szCs w:val="24"/>
        </w:rPr>
        <w:t>On May 21, 2020, the Guam Consolidated Commission on Utilities authorized the General Manager of GPA to seek a proposed secondary voltage LEAC rate of $0.089177/kWh.</w:t>
      </w:r>
      <w:r w:rsidR="003D622E">
        <w:rPr>
          <w:rStyle w:val="FootnoteReference"/>
          <w:rFonts w:ascii="Book Antiqua" w:hAnsi="Book Antiqua"/>
          <w:sz w:val="24"/>
          <w:szCs w:val="24"/>
        </w:rPr>
        <w:footnoteReference w:id="6"/>
      </w:r>
    </w:p>
    <w:p w14:paraId="23E12BC3" w14:textId="77777777" w:rsidR="003D622E" w:rsidRDefault="003D622E" w:rsidP="003D622E">
      <w:pPr>
        <w:pStyle w:val="ListParagraph"/>
        <w:spacing w:line="240" w:lineRule="auto"/>
        <w:ind w:left="360"/>
        <w:rPr>
          <w:rFonts w:ascii="Book Antiqua" w:hAnsi="Book Antiqua"/>
          <w:sz w:val="24"/>
          <w:szCs w:val="24"/>
        </w:rPr>
      </w:pPr>
    </w:p>
    <w:p w14:paraId="759CA561" w14:textId="0263EA18" w:rsidR="003D622E" w:rsidRDefault="003D622E" w:rsidP="00C92823">
      <w:pPr>
        <w:pStyle w:val="ListParagraph"/>
        <w:numPr>
          <w:ilvl w:val="0"/>
          <w:numId w:val="27"/>
        </w:numPr>
        <w:spacing w:line="240" w:lineRule="auto"/>
        <w:ind w:left="360"/>
        <w:rPr>
          <w:rFonts w:ascii="Book Antiqua" w:hAnsi="Book Antiqua"/>
          <w:sz w:val="24"/>
          <w:szCs w:val="24"/>
        </w:rPr>
      </w:pPr>
      <w:r>
        <w:rPr>
          <w:rFonts w:ascii="Book Antiqua" w:hAnsi="Book Antiqua"/>
          <w:sz w:val="24"/>
          <w:szCs w:val="24"/>
        </w:rPr>
        <w:t>On May 28, 2020, the PUC</w:t>
      </w:r>
      <w:r w:rsidR="000B79C9">
        <w:rPr>
          <w:rFonts w:ascii="Book Antiqua" w:hAnsi="Book Antiqua"/>
          <w:sz w:val="24"/>
          <w:szCs w:val="24"/>
        </w:rPr>
        <w:t xml:space="preserve"> set the secondary Fuel Recovery Factor </w:t>
      </w:r>
      <w:bookmarkStart w:id="4" w:name="_Hlk47081451"/>
      <w:r w:rsidR="000B79C9">
        <w:rPr>
          <w:rFonts w:ascii="Book Antiqua" w:hAnsi="Book Antiqua"/>
          <w:sz w:val="24"/>
          <w:szCs w:val="24"/>
        </w:rPr>
        <w:t xml:space="preserve">of $0.086800 </w:t>
      </w:r>
      <w:bookmarkEnd w:id="4"/>
      <w:r w:rsidR="000B79C9">
        <w:rPr>
          <w:rFonts w:ascii="Book Antiqua" w:hAnsi="Book Antiqua"/>
          <w:sz w:val="24"/>
          <w:szCs w:val="24"/>
        </w:rPr>
        <w:t>for the months of June and July, 2020.</w:t>
      </w:r>
      <w:r w:rsidR="000B79C9">
        <w:rPr>
          <w:rStyle w:val="FootnoteReference"/>
          <w:rFonts w:ascii="Book Antiqua" w:hAnsi="Book Antiqua"/>
          <w:sz w:val="24"/>
          <w:szCs w:val="24"/>
        </w:rPr>
        <w:footnoteReference w:id="7"/>
      </w:r>
    </w:p>
    <w:p w14:paraId="4E184474" w14:textId="77777777" w:rsidR="0091341D" w:rsidRDefault="0091341D" w:rsidP="0091341D">
      <w:pPr>
        <w:pStyle w:val="ListParagraph"/>
        <w:spacing w:line="240" w:lineRule="auto"/>
        <w:ind w:left="360"/>
        <w:rPr>
          <w:rFonts w:ascii="Book Antiqua" w:hAnsi="Book Antiqua"/>
          <w:sz w:val="24"/>
          <w:szCs w:val="24"/>
        </w:rPr>
      </w:pPr>
    </w:p>
    <w:p w14:paraId="5E4F13C0" w14:textId="59651CD9" w:rsidR="00FF46C7" w:rsidRDefault="0091341D" w:rsidP="006641BA">
      <w:pPr>
        <w:pStyle w:val="ListParagraph"/>
        <w:numPr>
          <w:ilvl w:val="0"/>
          <w:numId w:val="27"/>
        </w:numPr>
        <w:spacing w:line="240" w:lineRule="auto"/>
        <w:ind w:left="360"/>
        <w:rPr>
          <w:rFonts w:ascii="Book Antiqua" w:hAnsi="Book Antiqua"/>
          <w:sz w:val="24"/>
          <w:szCs w:val="24"/>
        </w:rPr>
      </w:pPr>
      <w:r w:rsidRPr="004F2DFF">
        <w:rPr>
          <w:rFonts w:ascii="Book Antiqua" w:hAnsi="Book Antiqua"/>
          <w:sz w:val="24"/>
          <w:szCs w:val="24"/>
        </w:rPr>
        <w:t>The Administrative Law Judge filed his Report in this Docket dated July 27, 2020.</w:t>
      </w:r>
      <w:r>
        <w:rPr>
          <w:rStyle w:val="FootnoteReference"/>
          <w:rFonts w:ascii="Book Antiqua" w:hAnsi="Book Antiqua"/>
          <w:sz w:val="24"/>
          <w:szCs w:val="24"/>
        </w:rPr>
        <w:footnoteReference w:id="8"/>
      </w:r>
      <w:r w:rsidRPr="004F2DFF">
        <w:rPr>
          <w:rFonts w:ascii="Book Antiqua" w:hAnsi="Book Antiqua"/>
          <w:sz w:val="24"/>
          <w:szCs w:val="24"/>
        </w:rPr>
        <w:t xml:space="preserve"> </w:t>
      </w:r>
    </w:p>
    <w:p w14:paraId="17109012" w14:textId="77777777" w:rsidR="004F2DFF" w:rsidRPr="004F2DFF" w:rsidRDefault="004F2DFF" w:rsidP="004F2DFF">
      <w:pPr>
        <w:pStyle w:val="ListParagraph"/>
        <w:spacing w:line="240" w:lineRule="auto"/>
        <w:ind w:left="360"/>
        <w:rPr>
          <w:rFonts w:ascii="Book Antiqua" w:hAnsi="Book Antiqua"/>
          <w:sz w:val="24"/>
          <w:szCs w:val="24"/>
        </w:rPr>
      </w:pPr>
    </w:p>
    <w:p w14:paraId="41620BA8" w14:textId="7A58CBA5" w:rsidR="00FF46C7" w:rsidRDefault="0042393C" w:rsidP="00FF46C7">
      <w:pPr>
        <w:spacing w:line="240" w:lineRule="auto"/>
        <w:ind w:left="432" w:hanging="432"/>
        <w:jc w:val="center"/>
        <w:rPr>
          <w:rFonts w:ascii="Book Antiqua" w:hAnsi="Book Antiqua"/>
          <w:b/>
          <w:sz w:val="24"/>
          <w:szCs w:val="24"/>
          <w:u w:val="single"/>
        </w:rPr>
      </w:pPr>
      <w:r>
        <w:rPr>
          <w:rFonts w:ascii="Book Antiqua" w:hAnsi="Book Antiqua"/>
          <w:b/>
          <w:sz w:val="24"/>
          <w:szCs w:val="24"/>
          <w:u w:val="single"/>
        </w:rPr>
        <w:t>DETERMINATIONS</w:t>
      </w:r>
    </w:p>
    <w:p w14:paraId="76707A45" w14:textId="77777777" w:rsidR="00D24D86" w:rsidRDefault="00D24D86" w:rsidP="00D24D86">
      <w:pPr>
        <w:pStyle w:val="ListParagraph"/>
        <w:spacing w:line="240" w:lineRule="auto"/>
        <w:ind w:left="360"/>
        <w:rPr>
          <w:rFonts w:ascii="Book Antiqua" w:hAnsi="Book Antiqua"/>
          <w:sz w:val="24"/>
          <w:szCs w:val="24"/>
        </w:rPr>
      </w:pPr>
    </w:p>
    <w:p w14:paraId="4A26BFAB" w14:textId="61E464E4" w:rsidR="00D57910" w:rsidRPr="009833D7" w:rsidRDefault="00663156" w:rsidP="00D57910">
      <w:pPr>
        <w:pStyle w:val="ListParagraph"/>
        <w:numPr>
          <w:ilvl w:val="0"/>
          <w:numId w:val="27"/>
        </w:numPr>
        <w:spacing w:line="240" w:lineRule="auto"/>
        <w:ind w:left="360"/>
        <w:rPr>
          <w:rFonts w:ascii="Book Antiqua" w:hAnsi="Book Antiqua"/>
          <w:b/>
          <w:sz w:val="24"/>
          <w:szCs w:val="24"/>
          <w:u w:val="single"/>
        </w:rPr>
      </w:pPr>
      <w:r>
        <w:rPr>
          <w:rFonts w:ascii="Book Antiqua" w:hAnsi="Book Antiqua"/>
          <w:sz w:val="24"/>
          <w:szCs w:val="24"/>
        </w:rPr>
        <w:t xml:space="preserve">In his Report at the PUC Meeting, the Administrative Law Judge outlined three approaches to setting the LEAC Factor that the Commission could take.  The first approach would </w:t>
      </w:r>
      <w:r w:rsidRPr="00663156">
        <w:rPr>
          <w:rFonts w:ascii="Book Antiqua" w:hAnsi="Book Antiqua"/>
          <w:bCs/>
          <w:sz w:val="24"/>
          <w:szCs w:val="24"/>
        </w:rPr>
        <w:t>main</w:t>
      </w:r>
      <w:r>
        <w:rPr>
          <w:rFonts w:ascii="Book Antiqua" w:hAnsi="Book Antiqua"/>
          <w:bCs/>
          <w:sz w:val="24"/>
          <w:szCs w:val="24"/>
        </w:rPr>
        <w:t>tain</w:t>
      </w:r>
      <w:r w:rsidRPr="00663156">
        <w:rPr>
          <w:rFonts w:ascii="Book Antiqua" w:hAnsi="Book Antiqua"/>
          <w:bCs/>
          <w:sz w:val="24"/>
          <w:szCs w:val="24"/>
        </w:rPr>
        <w:t xml:space="preserve"> the current LEAC Factor of $0.086800 in effect </w:t>
      </w:r>
      <w:r w:rsidR="00206C2D">
        <w:rPr>
          <w:rFonts w:ascii="Book Antiqua" w:hAnsi="Book Antiqua"/>
          <w:bCs/>
          <w:sz w:val="24"/>
          <w:szCs w:val="24"/>
        </w:rPr>
        <w:t>on and after August 1, 2020.</w:t>
      </w:r>
      <w:r>
        <w:rPr>
          <w:rFonts w:ascii="Book Antiqua" w:hAnsi="Book Antiqua"/>
          <w:bCs/>
          <w:sz w:val="24"/>
          <w:szCs w:val="24"/>
        </w:rPr>
        <w:t xml:space="preserve">  This approach could</w:t>
      </w:r>
      <w:r w:rsidRPr="00663156">
        <w:rPr>
          <w:rFonts w:ascii="Book Antiqua" w:hAnsi="Book Antiqua"/>
          <w:bCs/>
          <w:sz w:val="24"/>
          <w:szCs w:val="24"/>
        </w:rPr>
        <w:t xml:space="preserve"> result in an under-recovery of $16,962,000 by January 31, 2021.</w:t>
      </w:r>
      <w:r w:rsidRPr="00663156">
        <w:rPr>
          <w:rFonts w:ascii="Book Antiqua" w:hAnsi="Book Antiqua"/>
          <w:bCs/>
          <w:sz w:val="24"/>
          <w:szCs w:val="24"/>
          <w:vertAlign w:val="superscript"/>
        </w:rPr>
        <w:footnoteReference w:id="9"/>
      </w:r>
      <w:r w:rsidRPr="00663156">
        <w:rPr>
          <w:rFonts w:ascii="Book Antiqua" w:hAnsi="Book Antiqua"/>
          <w:bCs/>
          <w:sz w:val="24"/>
          <w:szCs w:val="24"/>
        </w:rPr>
        <w:t xml:space="preserve">  </w:t>
      </w:r>
      <w:r>
        <w:rPr>
          <w:rFonts w:ascii="Book Antiqua" w:hAnsi="Book Antiqua"/>
          <w:bCs/>
          <w:sz w:val="24"/>
          <w:szCs w:val="24"/>
        </w:rPr>
        <w:t>The second approach would set the LEAC Factor at $0.114568</w:t>
      </w:r>
      <w:bookmarkStart w:id="5" w:name="_Hlk47079806"/>
      <w:r>
        <w:rPr>
          <w:rFonts w:ascii="Book Antiqua" w:hAnsi="Book Antiqua"/>
          <w:bCs/>
          <w:sz w:val="24"/>
          <w:szCs w:val="24"/>
        </w:rPr>
        <w:t>.</w:t>
      </w:r>
      <w:r w:rsidR="00D57910">
        <w:rPr>
          <w:rFonts w:ascii="Book Antiqua" w:hAnsi="Book Antiqua"/>
          <w:b/>
          <w:sz w:val="24"/>
          <w:szCs w:val="24"/>
          <w:u w:val="single"/>
        </w:rPr>
        <w:t xml:space="preserve"> </w:t>
      </w:r>
      <w:bookmarkEnd w:id="5"/>
      <w:r w:rsidR="00D57910" w:rsidRPr="00D57910">
        <w:rPr>
          <w:rFonts w:ascii="Book Antiqua" w:hAnsi="Book Antiqua"/>
          <w:bCs/>
          <w:sz w:val="24"/>
          <w:szCs w:val="24"/>
        </w:rPr>
        <w:t xml:space="preserve">However, </w:t>
      </w:r>
      <w:r w:rsidR="00CB746E">
        <w:rPr>
          <w:rFonts w:ascii="Book Antiqua" w:hAnsi="Book Antiqua"/>
          <w:bCs/>
          <w:sz w:val="24"/>
          <w:szCs w:val="24"/>
        </w:rPr>
        <w:t>this Factor</w:t>
      </w:r>
      <w:r w:rsidR="00D57910" w:rsidRPr="00D57910">
        <w:rPr>
          <w:rFonts w:ascii="Book Antiqua" w:hAnsi="Book Antiqua"/>
          <w:bCs/>
          <w:sz w:val="24"/>
          <w:szCs w:val="24"/>
        </w:rPr>
        <w:t xml:space="preserve"> would result in a 31.99% increase in LEAC, and a 15.31% increase in the total bill.</w:t>
      </w:r>
      <w:r w:rsidR="00D57910">
        <w:rPr>
          <w:rStyle w:val="FootnoteReference"/>
          <w:rFonts w:ascii="Book Antiqua" w:hAnsi="Book Antiqua"/>
          <w:bCs/>
          <w:sz w:val="24"/>
          <w:szCs w:val="24"/>
        </w:rPr>
        <w:footnoteReference w:id="10"/>
      </w:r>
      <w:r w:rsidR="00D57910">
        <w:rPr>
          <w:rFonts w:ascii="Book Antiqua" w:hAnsi="Book Antiqua"/>
          <w:bCs/>
          <w:sz w:val="24"/>
          <w:szCs w:val="24"/>
        </w:rPr>
        <w:t xml:space="preserve"> The third approach would set a Factor of </w:t>
      </w:r>
      <w:r w:rsidR="00D57910" w:rsidRPr="00D57910">
        <w:rPr>
          <w:rFonts w:ascii="Book Antiqua" w:hAnsi="Book Antiqua"/>
          <w:bCs/>
          <w:sz w:val="24"/>
          <w:szCs w:val="24"/>
        </w:rPr>
        <w:t>$0.100026</w:t>
      </w:r>
      <w:r w:rsidR="00CB746E">
        <w:rPr>
          <w:rFonts w:ascii="Book Antiqua" w:hAnsi="Book Antiqua"/>
          <w:bCs/>
          <w:sz w:val="24"/>
          <w:szCs w:val="24"/>
        </w:rPr>
        <w:t xml:space="preserve">.  </w:t>
      </w:r>
      <w:r w:rsidR="00D57910">
        <w:rPr>
          <w:rFonts w:ascii="Book Antiqua" w:hAnsi="Book Antiqua"/>
          <w:bCs/>
          <w:sz w:val="24"/>
          <w:szCs w:val="24"/>
        </w:rPr>
        <w:t>Such Factor would</w:t>
      </w:r>
      <w:r w:rsidR="00D57910" w:rsidRPr="00D57910">
        <w:rPr>
          <w:rFonts w:ascii="Book Antiqua" w:hAnsi="Book Antiqua"/>
          <w:bCs/>
          <w:sz w:val="24"/>
          <w:szCs w:val="24"/>
        </w:rPr>
        <w:t xml:space="preserve"> </w:t>
      </w:r>
      <w:r w:rsidR="00D57910">
        <w:rPr>
          <w:rFonts w:ascii="Book Antiqua" w:hAnsi="Book Antiqua"/>
          <w:bCs/>
          <w:sz w:val="24"/>
          <w:szCs w:val="24"/>
        </w:rPr>
        <w:t xml:space="preserve">result in a 50% </w:t>
      </w:r>
      <w:r w:rsidR="00206C2D">
        <w:rPr>
          <w:rFonts w:ascii="Book Antiqua" w:hAnsi="Book Antiqua"/>
          <w:bCs/>
          <w:sz w:val="24"/>
          <w:szCs w:val="24"/>
        </w:rPr>
        <w:t>recovery</w:t>
      </w:r>
      <w:r w:rsidR="00CB746E">
        <w:rPr>
          <w:rFonts w:ascii="Book Antiqua" w:hAnsi="Book Antiqua"/>
          <w:bCs/>
          <w:sz w:val="24"/>
          <w:szCs w:val="24"/>
        </w:rPr>
        <w:t xml:space="preserve"> of GPA fuel prices </w:t>
      </w:r>
      <w:r w:rsidR="00CB746E" w:rsidRPr="00CB746E">
        <w:rPr>
          <w:rFonts w:ascii="Book Antiqua" w:hAnsi="Book Antiqua"/>
          <w:bCs/>
          <w:sz w:val="24"/>
          <w:szCs w:val="24"/>
        </w:rPr>
        <w:t xml:space="preserve">for </w:t>
      </w:r>
      <w:r w:rsidR="00CB746E">
        <w:rPr>
          <w:rFonts w:ascii="Book Antiqua" w:hAnsi="Book Antiqua"/>
          <w:bCs/>
          <w:sz w:val="24"/>
          <w:szCs w:val="24"/>
        </w:rPr>
        <w:t>the LEAC period</w:t>
      </w:r>
      <w:r w:rsidR="00CB746E" w:rsidRPr="00CB746E">
        <w:rPr>
          <w:rFonts w:ascii="Book Antiqua" w:hAnsi="Book Antiqua"/>
          <w:bCs/>
          <w:sz w:val="24"/>
          <w:szCs w:val="24"/>
        </w:rPr>
        <w:t>.</w:t>
      </w:r>
    </w:p>
    <w:p w14:paraId="3A033205" w14:textId="77777777" w:rsidR="009833D7" w:rsidRPr="009833D7" w:rsidRDefault="009833D7" w:rsidP="009833D7">
      <w:pPr>
        <w:pStyle w:val="ListParagraph"/>
        <w:spacing w:line="240" w:lineRule="auto"/>
        <w:ind w:left="360"/>
        <w:rPr>
          <w:rFonts w:ascii="Book Antiqua" w:hAnsi="Book Antiqua"/>
          <w:b/>
          <w:sz w:val="24"/>
          <w:szCs w:val="24"/>
          <w:u w:val="single"/>
        </w:rPr>
      </w:pPr>
    </w:p>
    <w:p w14:paraId="1456E00E" w14:textId="72FD5356" w:rsidR="009833D7" w:rsidRDefault="009833D7" w:rsidP="007C53E7">
      <w:pPr>
        <w:pStyle w:val="ListParagraph"/>
        <w:numPr>
          <w:ilvl w:val="0"/>
          <w:numId w:val="27"/>
        </w:numPr>
        <w:spacing w:line="240" w:lineRule="auto"/>
        <w:ind w:left="360"/>
        <w:rPr>
          <w:rFonts w:ascii="Book Antiqua" w:hAnsi="Book Antiqua"/>
          <w:bCs/>
          <w:sz w:val="24"/>
          <w:szCs w:val="24"/>
        </w:rPr>
      </w:pPr>
      <w:r>
        <w:rPr>
          <w:rFonts w:ascii="Book Antiqua" w:hAnsi="Book Antiqua"/>
          <w:bCs/>
          <w:sz w:val="24"/>
          <w:szCs w:val="24"/>
        </w:rPr>
        <w:t>The ALJ recommended that the PUC adopt</w:t>
      </w:r>
      <w:r w:rsidRPr="009833D7">
        <w:rPr>
          <w:rFonts w:ascii="Book Antiqua" w:hAnsi="Book Antiqua"/>
          <w:bCs/>
          <w:sz w:val="24"/>
          <w:szCs w:val="24"/>
        </w:rPr>
        <w:t xml:space="preserve"> a LEAC Factor of $0.100026</w:t>
      </w:r>
      <w:r w:rsidR="007C53E7">
        <w:rPr>
          <w:rFonts w:ascii="Book Antiqua" w:hAnsi="Book Antiqua"/>
          <w:bCs/>
          <w:sz w:val="24"/>
          <w:szCs w:val="24"/>
        </w:rPr>
        <w:t xml:space="preserve">.  </w:t>
      </w:r>
      <w:r w:rsidR="00CB746E">
        <w:rPr>
          <w:rFonts w:ascii="Book Antiqua" w:hAnsi="Book Antiqua"/>
          <w:bCs/>
          <w:sz w:val="24"/>
          <w:szCs w:val="24"/>
        </w:rPr>
        <w:t>In his opinion, s</w:t>
      </w:r>
      <w:r w:rsidR="007C53E7">
        <w:rPr>
          <w:rFonts w:ascii="Book Antiqua" w:hAnsi="Book Antiqua"/>
          <w:bCs/>
          <w:sz w:val="24"/>
          <w:szCs w:val="24"/>
        </w:rPr>
        <w:t>uch approach would ensure that GPA recover</w:t>
      </w:r>
      <w:r w:rsidR="00C15235">
        <w:rPr>
          <w:rFonts w:ascii="Book Antiqua" w:hAnsi="Book Antiqua"/>
          <w:bCs/>
          <w:sz w:val="24"/>
          <w:szCs w:val="24"/>
        </w:rPr>
        <w:t>s</w:t>
      </w:r>
      <w:r w:rsidR="007C53E7">
        <w:rPr>
          <w:rFonts w:ascii="Book Antiqua" w:hAnsi="Book Antiqua"/>
          <w:bCs/>
          <w:sz w:val="24"/>
          <w:szCs w:val="24"/>
        </w:rPr>
        <w:t xml:space="preserve"> at least 50% of the increase in fuel cost.  </w:t>
      </w:r>
      <w:r w:rsidR="00640A32">
        <w:rPr>
          <w:rFonts w:ascii="Book Antiqua" w:hAnsi="Book Antiqua"/>
          <w:bCs/>
          <w:sz w:val="24"/>
          <w:szCs w:val="24"/>
        </w:rPr>
        <w:t>Fuel prices had increased by more than 40% since May</w:t>
      </w:r>
      <w:r w:rsidR="004C5B9C">
        <w:rPr>
          <w:rFonts w:ascii="Book Antiqua" w:hAnsi="Book Antiqua"/>
          <w:bCs/>
          <w:sz w:val="24"/>
          <w:szCs w:val="24"/>
        </w:rPr>
        <w:t xml:space="preserve">; any under-recovery of fuel prices would merely be a debt that ratepayers would have to pay later.  </w:t>
      </w:r>
      <w:r w:rsidR="007C53E7">
        <w:rPr>
          <w:rFonts w:ascii="Book Antiqua" w:hAnsi="Book Antiqua"/>
          <w:bCs/>
          <w:sz w:val="24"/>
          <w:szCs w:val="24"/>
        </w:rPr>
        <w:t>At</w:t>
      </w:r>
      <w:r w:rsidRPr="009833D7">
        <w:rPr>
          <w:rFonts w:ascii="Book Antiqua" w:hAnsi="Book Antiqua"/>
          <w:bCs/>
          <w:sz w:val="24"/>
          <w:szCs w:val="24"/>
        </w:rPr>
        <w:t xml:space="preserve"> the end of the LEAC period as of January 31, 2021, GPA estimate</w:t>
      </w:r>
      <w:r w:rsidR="007C53E7">
        <w:rPr>
          <w:rFonts w:ascii="Book Antiqua" w:hAnsi="Book Antiqua"/>
          <w:bCs/>
          <w:sz w:val="24"/>
          <w:szCs w:val="24"/>
        </w:rPr>
        <w:t>d</w:t>
      </w:r>
      <w:r w:rsidRPr="009833D7">
        <w:rPr>
          <w:rFonts w:ascii="Book Antiqua" w:hAnsi="Book Antiqua"/>
          <w:bCs/>
          <w:sz w:val="24"/>
          <w:szCs w:val="24"/>
        </w:rPr>
        <w:t xml:space="preserve"> that the under-recovery balance w</w:t>
      </w:r>
      <w:r w:rsidR="007C53E7">
        <w:rPr>
          <w:rFonts w:ascii="Book Antiqua" w:hAnsi="Book Antiqua"/>
          <w:bCs/>
          <w:sz w:val="24"/>
          <w:szCs w:val="24"/>
        </w:rPr>
        <w:t>ould</w:t>
      </w:r>
      <w:r w:rsidRPr="009833D7">
        <w:rPr>
          <w:rFonts w:ascii="Book Antiqua" w:hAnsi="Book Antiqua"/>
          <w:bCs/>
          <w:sz w:val="24"/>
          <w:szCs w:val="24"/>
        </w:rPr>
        <w:t xml:space="preserve"> be approximately $8.5M.   </w:t>
      </w:r>
      <w:r w:rsidR="00CB746E">
        <w:rPr>
          <w:rFonts w:ascii="Book Antiqua" w:hAnsi="Book Antiqua"/>
          <w:bCs/>
          <w:sz w:val="24"/>
          <w:szCs w:val="24"/>
        </w:rPr>
        <w:t>The ALJ indicated that</w:t>
      </w:r>
      <w:r w:rsidR="007C53E7">
        <w:rPr>
          <w:rFonts w:ascii="Book Antiqua" w:hAnsi="Book Antiqua"/>
          <w:bCs/>
          <w:sz w:val="24"/>
          <w:szCs w:val="24"/>
        </w:rPr>
        <w:t>, w</w:t>
      </w:r>
      <w:r w:rsidRPr="009833D7">
        <w:rPr>
          <w:rFonts w:ascii="Book Antiqua" w:hAnsi="Book Antiqua"/>
          <w:bCs/>
          <w:sz w:val="24"/>
          <w:szCs w:val="24"/>
        </w:rPr>
        <w:t xml:space="preserve">hile such under-recovery balance </w:t>
      </w:r>
      <w:r w:rsidR="007C53E7">
        <w:rPr>
          <w:rFonts w:ascii="Book Antiqua" w:hAnsi="Book Antiqua"/>
          <w:bCs/>
          <w:sz w:val="24"/>
          <w:szCs w:val="24"/>
        </w:rPr>
        <w:t>wa</w:t>
      </w:r>
      <w:r w:rsidRPr="009833D7">
        <w:rPr>
          <w:rFonts w:ascii="Book Antiqua" w:hAnsi="Book Antiqua"/>
          <w:bCs/>
          <w:sz w:val="24"/>
          <w:szCs w:val="24"/>
        </w:rPr>
        <w:t xml:space="preserve">s still high, </w:t>
      </w:r>
      <w:r w:rsidR="00C15235">
        <w:rPr>
          <w:rFonts w:ascii="Book Antiqua" w:hAnsi="Book Antiqua"/>
          <w:bCs/>
          <w:sz w:val="24"/>
          <w:szCs w:val="24"/>
        </w:rPr>
        <w:t xml:space="preserve">it </w:t>
      </w:r>
      <w:r w:rsidR="007C53E7">
        <w:rPr>
          <w:rFonts w:ascii="Book Antiqua" w:hAnsi="Book Antiqua"/>
          <w:bCs/>
          <w:sz w:val="24"/>
          <w:szCs w:val="24"/>
        </w:rPr>
        <w:t>was</w:t>
      </w:r>
      <w:r w:rsidRPr="009833D7">
        <w:rPr>
          <w:rFonts w:ascii="Book Antiqua" w:hAnsi="Book Antiqua"/>
          <w:bCs/>
          <w:sz w:val="24"/>
          <w:szCs w:val="24"/>
        </w:rPr>
        <w:t xml:space="preserve"> is a better option than allowing the under-recovery to increase to over $16M. </w:t>
      </w:r>
    </w:p>
    <w:p w14:paraId="4F0DB20F" w14:textId="77777777" w:rsidR="007C53E7" w:rsidRDefault="007C53E7" w:rsidP="007C53E7">
      <w:pPr>
        <w:pStyle w:val="ListParagraph"/>
        <w:spacing w:line="240" w:lineRule="auto"/>
        <w:ind w:left="360"/>
        <w:rPr>
          <w:rFonts w:ascii="Book Antiqua" w:hAnsi="Book Antiqua"/>
          <w:bCs/>
          <w:sz w:val="24"/>
          <w:szCs w:val="24"/>
        </w:rPr>
      </w:pPr>
    </w:p>
    <w:p w14:paraId="7AF3A1F2" w14:textId="6C0B2FA8" w:rsidR="007C53E7" w:rsidRDefault="00CB746E" w:rsidP="007C53E7">
      <w:pPr>
        <w:pStyle w:val="ListParagraph"/>
        <w:numPr>
          <w:ilvl w:val="0"/>
          <w:numId w:val="27"/>
        </w:numPr>
        <w:spacing w:line="240" w:lineRule="auto"/>
        <w:ind w:left="360"/>
        <w:rPr>
          <w:rFonts w:ascii="Book Antiqua" w:hAnsi="Book Antiqua"/>
          <w:bCs/>
          <w:sz w:val="24"/>
          <w:szCs w:val="24"/>
        </w:rPr>
      </w:pPr>
      <w:r>
        <w:rPr>
          <w:rFonts w:ascii="Book Antiqua" w:hAnsi="Book Antiqua"/>
          <w:bCs/>
          <w:sz w:val="24"/>
          <w:szCs w:val="24"/>
        </w:rPr>
        <w:t>T</w:t>
      </w:r>
      <w:r w:rsidR="007C53E7">
        <w:rPr>
          <w:rFonts w:ascii="Book Antiqua" w:hAnsi="Book Antiqua"/>
          <w:bCs/>
          <w:sz w:val="24"/>
          <w:szCs w:val="24"/>
        </w:rPr>
        <w:t xml:space="preserve">he Commission has the power to exercise its judgment when setting the </w:t>
      </w:r>
      <w:r w:rsidR="00640A32">
        <w:rPr>
          <w:rFonts w:ascii="Book Antiqua" w:hAnsi="Book Antiqua"/>
          <w:bCs/>
          <w:sz w:val="24"/>
          <w:szCs w:val="24"/>
        </w:rPr>
        <w:t>LEAC Factor</w:t>
      </w:r>
      <w:r w:rsidR="007C53E7">
        <w:rPr>
          <w:rFonts w:ascii="Book Antiqua" w:hAnsi="Book Antiqua"/>
          <w:bCs/>
          <w:sz w:val="24"/>
          <w:szCs w:val="24"/>
        </w:rPr>
        <w:t xml:space="preserve">.  </w:t>
      </w:r>
      <w:r w:rsidR="003A2A94">
        <w:rPr>
          <w:rFonts w:ascii="Book Antiqua" w:hAnsi="Book Antiqua"/>
          <w:bCs/>
          <w:sz w:val="24"/>
          <w:szCs w:val="24"/>
        </w:rPr>
        <w:t xml:space="preserve">If the </w:t>
      </w:r>
      <w:r w:rsidR="00640A32">
        <w:rPr>
          <w:rFonts w:ascii="Book Antiqua" w:hAnsi="Book Antiqua"/>
          <w:bCs/>
          <w:sz w:val="24"/>
          <w:szCs w:val="24"/>
        </w:rPr>
        <w:t>LEAC</w:t>
      </w:r>
      <w:r w:rsidR="003A2A94">
        <w:rPr>
          <w:rFonts w:ascii="Book Antiqua" w:hAnsi="Book Antiqua"/>
          <w:bCs/>
          <w:sz w:val="24"/>
          <w:szCs w:val="24"/>
        </w:rPr>
        <w:t xml:space="preserve"> w</w:t>
      </w:r>
      <w:r w:rsidR="00640A32">
        <w:rPr>
          <w:rFonts w:ascii="Book Antiqua" w:hAnsi="Book Antiqua"/>
          <w:bCs/>
          <w:sz w:val="24"/>
          <w:szCs w:val="24"/>
        </w:rPr>
        <w:t>as</w:t>
      </w:r>
      <w:r w:rsidR="003A2A94">
        <w:rPr>
          <w:rFonts w:ascii="Book Antiqua" w:hAnsi="Book Antiqua"/>
          <w:bCs/>
          <w:sz w:val="24"/>
          <w:szCs w:val="24"/>
        </w:rPr>
        <w:t xml:space="preserve"> automatic, there would not be a need to have a </w:t>
      </w:r>
      <w:r w:rsidR="003A2A94">
        <w:rPr>
          <w:rFonts w:ascii="Book Antiqua" w:hAnsi="Book Antiqua"/>
          <w:bCs/>
          <w:sz w:val="24"/>
          <w:szCs w:val="24"/>
        </w:rPr>
        <w:lastRenderedPageBreak/>
        <w:t>Commission</w:t>
      </w:r>
      <w:r w:rsidR="004C5B9C">
        <w:rPr>
          <w:rFonts w:ascii="Book Antiqua" w:hAnsi="Book Antiqua"/>
          <w:bCs/>
          <w:sz w:val="24"/>
          <w:szCs w:val="24"/>
        </w:rPr>
        <w:t xml:space="preserve"> addressing the fuel factor</w:t>
      </w:r>
      <w:r w:rsidR="003A2A94">
        <w:rPr>
          <w:rFonts w:ascii="Book Antiqua" w:hAnsi="Book Antiqua"/>
          <w:bCs/>
          <w:sz w:val="24"/>
          <w:szCs w:val="24"/>
        </w:rPr>
        <w:t xml:space="preserve">.  </w:t>
      </w:r>
      <w:r w:rsidR="00C15235">
        <w:rPr>
          <w:rFonts w:ascii="Book Antiqua" w:hAnsi="Book Antiqua"/>
          <w:bCs/>
          <w:sz w:val="24"/>
          <w:szCs w:val="24"/>
        </w:rPr>
        <w:t xml:space="preserve">As in 2017, if the under-recovery balance of GPA becomes high, the Commission can </w:t>
      </w:r>
      <w:r w:rsidR="00C57AD5">
        <w:rPr>
          <w:rFonts w:ascii="Book Antiqua" w:hAnsi="Book Antiqua"/>
          <w:bCs/>
          <w:sz w:val="24"/>
          <w:szCs w:val="24"/>
        </w:rPr>
        <w:t>s</w:t>
      </w:r>
      <w:r w:rsidR="00C15235">
        <w:rPr>
          <w:rFonts w:ascii="Book Antiqua" w:hAnsi="Book Antiqua"/>
          <w:bCs/>
          <w:sz w:val="24"/>
          <w:szCs w:val="24"/>
        </w:rPr>
        <w:t xml:space="preserve">ubsequently </w:t>
      </w:r>
      <w:r w:rsidR="00C57AD5">
        <w:rPr>
          <w:rFonts w:ascii="Book Antiqua" w:hAnsi="Book Antiqua"/>
          <w:bCs/>
          <w:sz w:val="24"/>
          <w:szCs w:val="24"/>
        </w:rPr>
        <w:t>take steps to recover such balance gradually.</w:t>
      </w:r>
      <w:r w:rsidR="00C15235">
        <w:rPr>
          <w:rFonts w:ascii="Book Antiqua" w:hAnsi="Book Antiqua"/>
          <w:bCs/>
          <w:sz w:val="24"/>
          <w:szCs w:val="24"/>
        </w:rPr>
        <w:t xml:space="preserve"> </w:t>
      </w:r>
    </w:p>
    <w:p w14:paraId="3D9BE040" w14:textId="77777777" w:rsidR="007C53E7" w:rsidRPr="007C53E7" w:rsidRDefault="007C53E7" w:rsidP="007C53E7">
      <w:pPr>
        <w:spacing w:line="240" w:lineRule="auto"/>
        <w:rPr>
          <w:rFonts w:ascii="Book Antiqua" w:hAnsi="Book Antiqua"/>
          <w:bCs/>
          <w:sz w:val="24"/>
          <w:szCs w:val="24"/>
        </w:rPr>
      </w:pPr>
    </w:p>
    <w:p w14:paraId="6C9B987E" w14:textId="4CE87812" w:rsidR="009833D7" w:rsidRPr="003A2A94" w:rsidRDefault="003A2A94" w:rsidP="00D57910">
      <w:pPr>
        <w:pStyle w:val="ListParagraph"/>
        <w:numPr>
          <w:ilvl w:val="0"/>
          <w:numId w:val="27"/>
        </w:numPr>
        <w:spacing w:line="240" w:lineRule="auto"/>
        <w:ind w:left="360"/>
        <w:rPr>
          <w:rFonts w:ascii="Book Antiqua" w:hAnsi="Book Antiqua"/>
          <w:b/>
          <w:sz w:val="24"/>
          <w:szCs w:val="24"/>
          <w:u w:val="single"/>
        </w:rPr>
      </w:pPr>
      <w:r>
        <w:rPr>
          <w:rFonts w:ascii="Book Antiqua" w:hAnsi="Book Antiqua"/>
          <w:bCs/>
          <w:sz w:val="24"/>
          <w:szCs w:val="24"/>
        </w:rPr>
        <w:t>The Island is in unprecedented dire straits, and increasing power costs at the present time would have an adverse psychological impact on the Island.</w:t>
      </w:r>
    </w:p>
    <w:p w14:paraId="0D53201C" w14:textId="77777777" w:rsidR="003A2A94" w:rsidRPr="003A2A94" w:rsidRDefault="003A2A94" w:rsidP="003A2A94">
      <w:pPr>
        <w:pStyle w:val="ListParagraph"/>
        <w:spacing w:line="240" w:lineRule="auto"/>
        <w:ind w:left="360"/>
        <w:rPr>
          <w:rFonts w:ascii="Book Antiqua" w:hAnsi="Book Antiqua"/>
          <w:b/>
          <w:sz w:val="24"/>
          <w:szCs w:val="24"/>
          <w:u w:val="single"/>
        </w:rPr>
      </w:pPr>
    </w:p>
    <w:p w14:paraId="4C03D6B9" w14:textId="1B46ACFC" w:rsidR="008D6FA1" w:rsidRDefault="003A2A94" w:rsidP="00D57910">
      <w:pPr>
        <w:pStyle w:val="ListParagraph"/>
        <w:numPr>
          <w:ilvl w:val="0"/>
          <w:numId w:val="27"/>
        </w:numPr>
        <w:spacing w:line="240" w:lineRule="auto"/>
        <w:ind w:left="360"/>
        <w:rPr>
          <w:rFonts w:ascii="Book Antiqua" w:hAnsi="Book Antiqua"/>
          <w:bCs/>
          <w:sz w:val="24"/>
          <w:szCs w:val="24"/>
        </w:rPr>
      </w:pPr>
      <w:r w:rsidRPr="003A2A94">
        <w:rPr>
          <w:rFonts w:ascii="Book Antiqua" w:hAnsi="Book Antiqua"/>
          <w:bCs/>
          <w:sz w:val="24"/>
          <w:szCs w:val="24"/>
        </w:rPr>
        <w:t xml:space="preserve">The present time is </w:t>
      </w:r>
      <w:r>
        <w:rPr>
          <w:rFonts w:ascii="Book Antiqua" w:hAnsi="Book Antiqua"/>
          <w:bCs/>
          <w:sz w:val="24"/>
          <w:szCs w:val="24"/>
        </w:rPr>
        <w:t xml:space="preserve">simply not appropriate for increasing power bills due to the severe </w:t>
      </w:r>
      <w:r w:rsidR="00640A32">
        <w:rPr>
          <w:rFonts w:ascii="Book Antiqua" w:hAnsi="Book Antiqua"/>
          <w:bCs/>
          <w:sz w:val="24"/>
          <w:szCs w:val="24"/>
        </w:rPr>
        <w:t xml:space="preserve">economic </w:t>
      </w:r>
      <w:r>
        <w:rPr>
          <w:rFonts w:ascii="Book Antiqua" w:hAnsi="Book Antiqua"/>
          <w:bCs/>
          <w:sz w:val="24"/>
          <w:szCs w:val="24"/>
        </w:rPr>
        <w:t xml:space="preserve">impact of the corona virus pandemic upon Guam.  Many people have lost their jobs and are receiving unemployment insurance. </w:t>
      </w:r>
      <w:r w:rsidR="00640A32">
        <w:rPr>
          <w:rFonts w:ascii="Book Antiqua" w:hAnsi="Book Antiqua"/>
          <w:bCs/>
          <w:sz w:val="24"/>
          <w:szCs w:val="24"/>
        </w:rPr>
        <w:t>Tourism and other industries have been adversely impacted.</w:t>
      </w:r>
    </w:p>
    <w:p w14:paraId="2D2BE4B2" w14:textId="77777777" w:rsidR="008D6FA1" w:rsidRDefault="008D6FA1" w:rsidP="008D6FA1">
      <w:pPr>
        <w:pStyle w:val="ListParagraph"/>
        <w:spacing w:line="240" w:lineRule="auto"/>
        <w:ind w:left="360"/>
        <w:rPr>
          <w:rFonts w:ascii="Book Antiqua" w:hAnsi="Book Antiqua"/>
          <w:bCs/>
          <w:sz w:val="24"/>
          <w:szCs w:val="24"/>
        </w:rPr>
      </w:pPr>
    </w:p>
    <w:p w14:paraId="26274E02" w14:textId="68A3E146" w:rsidR="003A2A94" w:rsidRDefault="003A2A94" w:rsidP="00D57910">
      <w:pPr>
        <w:pStyle w:val="ListParagraph"/>
        <w:numPr>
          <w:ilvl w:val="0"/>
          <w:numId w:val="27"/>
        </w:numPr>
        <w:spacing w:line="240" w:lineRule="auto"/>
        <w:ind w:left="360"/>
        <w:rPr>
          <w:rFonts w:ascii="Book Antiqua" w:hAnsi="Book Antiqua"/>
          <w:bCs/>
          <w:sz w:val="24"/>
          <w:szCs w:val="24"/>
        </w:rPr>
      </w:pPr>
      <w:r>
        <w:rPr>
          <w:rFonts w:ascii="Book Antiqua" w:hAnsi="Book Antiqua"/>
          <w:bCs/>
          <w:sz w:val="24"/>
          <w:szCs w:val="24"/>
        </w:rPr>
        <w:t xml:space="preserve"> </w:t>
      </w:r>
      <w:r w:rsidR="008D6FA1">
        <w:rPr>
          <w:rFonts w:ascii="Book Antiqua" w:hAnsi="Book Antiqua"/>
          <w:bCs/>
          <w:sz w:val="24"/>
          <w:szCs w:val="24"/>
        </w:rPr>
        <w:t>Since the current LEAC Factor of</w:t>
      </w:r>
      <w:r w:rsidR="008D6FA1" w:rsidRPr="008D6FA1">
        <w:rPr>
          <w:rFonts w:ascii="Book Antiqua" w:hAnsi="Book Antiqua"/>
          <w:bCs/>
          <w:sz w:val="24"/>
          <w:szCs w:val="24"/>
        </w:rPr>
        <w:t xml:space="preserve"> </w:t>
      </w:r>
      <w:bookmarkStart w:id="6" w:name="_Hlk47083044"/>
      <w:r w:rsidR="008D6FA1" w:rsidRPr="008D6FA1">
        <w:rPr>
          <w:rFonts w:ascii="Book Antiqua" w:hAnsi="Book Antiqua"/>
          <w:bCs/>
          <w:sz w:val="24"/>
          <w:szCs w:val="24"/>
        </w:rPr>
        <w:t xml:space="preserve">$0.086800 </w:t>
      </w:r>
      <w:bookmarkEnd w:id="6"/>
      <w:r w:rsidR="008D6FA1">
        <w:rPr>
          <w:rFonts w:ascii="Book Antiqua" w:hAnsi="Book Antiqua"/>
          <w:bCs/>
          <w:sz w:val="24"/>
          <w:szCs w:val="24"/>
        </w:rPr>
        <w:t>was only set by the PUC two months ago, that Factor should remain in effect for the present time in order to smooth rates and lessen the impact of such rates upon the ratepayers.</w:t>
      </w:r>
    </w:p>
    <w:p w14:paraId="72061E28" w14:textId="77777777" w:rsidR="008D6FA1" w:rsidRDefault="008D6FA1" w:rsidP="008D6FA1">
      <w:pPr>
        <w:pStyle w:val="ListParagraph"/>
        <w:spacing w:line="240" w:lineRule="auto"/>
        <w:ind w:left="360"/>
        <w:rPr>
          <w:rFonts w:ascii="Book Antiqua" w:hAnsi="Book Antiqua"/>
          <w:bCs/>
          <w:sz w:val="24"/>
          <w:szCs w:val="24"/>
        </w:rPr>
      </w:pPr>
    </w:p>
    <w:p w14:paraId="08FD68D8" w14:textId="0166FA38" w:rsidR="008D6FA1" w:rsidRDefault="00FA0A13" w:rsidP="00D57910">
      <w:pPr>
        <w:pStyle w:val="ListParagraph"/>
        <w:numPr>
          <w:ilvl w:val="0"/>
          <w:numId w:val="27"/>
        </w:numPr>
        <w:spacing w:line="240" w:lineRule="auto"/>
        <w:ind w:left="360"/>
        <w:rPr>
          <w:rFonts w:ascii="Book Antiqua" w:hAnsi="Book Antiqua"/>
          <w:bCs/>
          <w:sz w:val="24"/>
          <w:szCs w:val="24"/>
        </w:rPr>
      </w:pPr>
      <w:r>
        <w:rPr>
          <w:rFonts w:ascii="Book Antiqua" w:hAnsi="Book Antiqua"/>
          <w:bCs/>
          <w:sz w:val="24"/>
          <w:szCs w:val="24"/>
        </w:rPr>
        <w:t xml:space="preserve">Neither </w:t>
      </w:r>
      <w:r w:rsidR="003C6A75">
        <w:rPr>
          <w:rFonts w:ascii="Book Antiqua" w:hAnsi="Book Antiqua"/>
          <w:bCs/>
          <w:sz w:val="24"/>
          <w:szCs w:val="24"/>
        </w:rPr>
        <w:t>t</w:t>
      </w:r>
      <w:r>
        <w:rPr>
          <w:rFonts w:ascii="Book Antiqua" w:hAnsi="Book Antiqua"/>
          <w:bCs/>
          <w:sz w:val="24"/>
          <w:szCs w:val="24"/>
        </w:rPr>
        <w:t>he Consolidated Commission on Utilities nor its General Manager John Benavente requested any increase in the current LEAC rate</w:t>
      </w:r>
      <w:r w:rsidR="003C6A75">
        <w:rPr>
          <w:rFonts w:ascii="Book Antiqua" w:hAnsi="Book Antiqua"/>
          <w:bCs/>
          <w:sz w:val="24"/>
          <w:szCs w:val="24"/>
        </w:rPr>
        <w:t>.  CCU Chairman Joseph Duenas stated at the PUC meeting that the CCU stands by its recommendation that the LEAC rate should be 8</w:t>
      </w:r>
      <w:r w:rsidR="007856AD">
        <w:rPr>
          <w:rFonts w:ascii="Book Antiqua" w:hAnsi="Book Antiqua"/>
          <w:bCs/>
          <w:sz w:val="24"/>
          <w:szCs w:val="24"/>
        </w:rPr>
        <w:t>.9 cents per kWh, and that it recognized that such recommendation could result in a large under-recovery for GPA of fuel costs.  General Manager Benavente indicated that GPA was not seeking any increase in the LEAC factor, but had only submitted updated fuel price information to the PUC for its action.</w:t>
      </w:r>
      <w:r>
        <w:rPr>
          <w:rFonts w:ascii="Book Antiqua" w:hAnsi="Book Antiqua"/>
          <w:bCs/>
          <w:sz w:val="24"/>
          <w:szCs w:val="24"/>
        </w:rPr>
        <w:t xml:space="preserve">  </w:t>
      </w:r>
    </w:p>
    <w:p w14:paraId="4D8BB389" w14:textId="77777777" w:rsidR="007856AD" w:rsidRDefault="007856AD" w:rsidP="007856AD">
      <w:pPr>
        <w:pStyle w:val="ListParagraph"/>
        <w:spacing w:line="240" w:lineRule="auto"/>
        <w:ind w:left="360"/>
        <w:rPr>
          <w:rFonts w:ascii="Book Antiqua" w:hAnsi="Book Antiqua"/>
          <w:bCs/>
          <w:sz w:val="24"/>
          <w:szCs w:val="24"/>
        </w:rPr>
      </w:pPr>
    </w:p>
    <w:p w14:paraId="3C888D29" w14:textId="4610AFCC" w:rsidR="007856AD" w:rsidRDefault="007856AD" w:rsidP="00D57910">
      <w:pPr>
        <w:pStyle w:val="ListParagraph"/>
        <w:numPr>
          <w:ilvl w:val="0"/>
          <w:numId w:val="27"/>
        </w:numPr>
        <w:spacing w:line="240" w:lineRule="auto"/>
        <w:ind w:left="360"/>
        <w:rPr>
          <w:rFonts w:ascii="Book Antiqua" w:hAnsi="Book Antiqua"/>
          <w:bCs/>
          <w:sz w:val="24"/>
          <w:szCs w:val="24"/>
        </w:rPr>
      </w:pPr>
      <w:r>
        <w:rPr>
          <w:rFonts w:ascii="Book Antiqua" w:hAnsi="Book Antiqua"/>
          <w:bCs/>
          <w:sz w:val="24"/>
          <w:szCs w:val="24"/>
        </w:rPr>
        <w:t xml:space="preserve">Based upon the foregoing reasons, the LEAC Factor should remain at </w:t>
      </w:r>
      <w:bookmarkStart w:id="7" w:name="_Hlk47083842"/>
      <w:r w:rsidRPr="007856AD">
        <w:rPr>
          <w:rFonts w:ascii="Book Antiqua" w:hAnsi="Book Antiqua"/>
          <w:bCs/>
          <w:sz w:val="24"/>
          <w:szCs w:val="24"/>
        </w:rPr>
        <w:t>$0.086800</w:t>
      </w:r>
      <w:r>
        <w:rPr>
          <w:rFonts w:ascii="Book Antiqua" w:hAnsi="Book Antiqua"/>
          <w:bCs/>
          <w:sz w:val="24"/>
          <w:szCs w:val="24"/>
        </w:rPr>
        <w:t xml:space="preserve"> </w:t>
      </w:r>
      <w:bookmarkEnd w:id="7"/>
      <w:r>
        <w:rPr>
          <w:rFonts w:ascii="Book Antiqua" w:hAnsi="Book Antiqua"/>
          <w:bCs/>
          <w:sz w:val="24"/>
          <w:szCs w:val="24"/>
        </w:rPr>
        <w:t>for the present time.</w:t>
      </w:r>
    </w:p>
    <w:p w14:paraId="0934F06A" w14:textId="77777777" w:rsidR="00C67CE2" w:rsidRDefault="00C67CE2" w:rsidP="00C67CE2">
      <w:pPr>
        <w:pStyle w:val="ListParagraph"/>
        <w:spacing w:line="240" w:lineRule="auto"/>
        <w:ind w:left="360"/>
        <w:rPr>
          <w:rFonts w:ascii="Book Antiqua" w:hAnsi="Book Antiqua"/>
          <w:bCs/>
          <w:sz w:val="24"/>
          <w:szCs w:val="24"/>
        </w:rPr>
      </w:pPr>
    </w:p>
    <w:p w14:paraId="48C84520" w14:textId="3A59847E" w:rsidR="00C67CE2" w:rsidRDefault="00C67CE2" w:rsidP="00D57910">
      <w:pPr>
        <w:pStyle w:val="ListParagraph"/>
        <w:numPr>
          <w:ilvl w:val="0"/>
          <w:numId w:val="27"/>
        </w:numPr>
        <w:spacing w:line="240" w:lineRule="auto"/>
        <w:ind w:left="360"/>
        <w:rPr>
          <w:rFonts w:ascii="Book Antiqua" w:hAnsi="Book Antiqua"/>
          <w:bCs/>
          <w:sz w:val="24"/>
          <w:szCs w:val="24"/>
        </w:rPr>
      </w:pPr>
      <w:bookmarkStart w:id="8" w:name="_Hlk47084351"/>
      <w:r>
        <w:rPr>
          <w:rFonts w:ascii="Book Antiqua" w:hAnsi="Book Antiqua"/>
          <w:bCs/>
          <w:sz w:val="24"/>
          <w:szCs w:val="24"/>
        </w:rPr>
        <w:t xml:space="preserve">The ALJ is directed to monitor fuel prices on a monthly basis and the amount of any under-recovery in fuel prices by GPA.  </w:t>
      </w:r>
    </w:p>
    <w:bookmarkEnd w:id="8"/>
    <w:p w14:paraId="173CAF9E" w14:textId="77777777" w:rsidR="00C67CE2" w:rsidRDefault="00C67CE2" w:rsidP="00C67CE2">
      <w:pPr>
        <w:pStyle w:val="ListParagraph"/>
        <w:spacing w:line="240" w:lineRule="auto"/>
        <w:ind w:left="360"/>
        <w:rPr>
          <w:rFonts w:ascii="Book Antiqua" w:hAnsi="Book Antiqua"/>
          <w:bCs/>
          <w:sz w:val="24"/>
          <w:szCs w:val="24"/>
        </w:rPr>
      </w:pPr>
    </w:p>
    <w:p w14:paraId="780030B5" w14:textId="6CAF5E13" w:rsidR="00C67CE2" w:rsidRPr="003A2A94" w:rsidRDefault="00C67CE2" w:rsidP="00D57910">
      <w:pPr>
        <w:pStyle w:val="ListParagraph"/>
        <w:numPr>
          <w:ilvl w:val="0"/>
          <w:numId w:val="27"/>
        </w:numPr>
        <w:spacing w:line="240" w:lineRule="auto"/>
        <w:ind w:left="360"/>
        <w:rPr>
          <w:rFonts w:ascii="Book Antiqua" w:hAnsi="Book Antiqua"/>
          <w:bCs/>
          <w:sz w:val="24"/>
          <w:szCs w:val="24"/>
        </w:rPr>
      </w:pPr>
      <w:bookmarkStart w:id="9" w:name="_Hlk47084456"/>
      <w:r>
        <w:rPr>
          <w:rFonts w:ascii="Book Antiqua" w:hAnsi="Book Antiqua"/>
          <w:bCs/>
          <w:sz w:val="24"/>
          <w:szCs w:val="24"/>
        </w:rPr>
        <w:t>At its October Meeting, the PUC will review the current LEAC Factor and determine whether such factor continues to be appropriate and the nature and extent of GPA under-recovery o</w:t>
      </w:r>
      <w:r w:rsidR="00DD517A">
        <w:rPr>
          <w:rFonts w:ascii="Book Antiqua" w:hAnsi="Book Antiqua"/>
          <w:bCs/>
          <w:sz w:val="24"/>
          <w:szCs w:val="24"/>
        </w:rPr>
        <w:t>f fuel costs.</w:t>
      </w:r>
    </w:p>
    <w:bookmarkEnd w:id="9"/>
    <w:p w14:paraId="1256148E" w14:textId="77777777" w:rsidR="00301CF3" w:rsidRPr="00723983" w:rsidRDefault="00301CF3" w:rsidP="00723983">
      <w:pPr>
        <w:pStyle w:val="ListParagraph"/>
        <w:spacing w:line="240" w:lineRule="auto"/>
        <w:ind w:left="0"/>
        <w:rPr>
          <w:rFonts w:ascii="Book Antiqua" w:hAnsi="Book Antiqua"/>
          <w:bCs/>
          <w:sz w:val="24"/>
          <w:szCs w:val="24"/>
        </w:rPr>
      </w:pPr>
    </w:p>
    <w:p w14:paraId="7122BF0E" w14:textId="77777777" w:rsidR="00C80C1C" w:rsidRDefault="00C80C1C" w:rsidP="00C80C1C">
      <w:pPr>
        <w:pStyle w:val="ListParagraph"/>
        <w:spacing w:line="240" w:lineRule="auto"/>
        <w:ind w:left="360"/>
        <w:jc w:val="center"/>
        <w:rPr>
          <w:rFonts w:ascii="Book Antiqua" w:hAnsi="Book Antiqua"/>
          <w:b/>
          <w:bCs/>
          <w:sz w:val="24"/>
          <w:szCs w:val="24"/>
          <w:u w:val="single"/>
        </w:rPr>
      </w:pPr>
      <w:r w:rsidRPr="00731E46">
        <w:rPr>
          <w:rFonts w:ascii="Book Antiqua" w:hAnsi="Book Antiqua"/>
          <w:b/>
          <w:bCs/>
          <w:sz w:val="24"/>
          <w:szCs w:val="24"/>
          <w:u w:val="single"/>
        </w:rPr>
        <w:t>ORDERING PROVISIONS</w:t>
      </w:r>
    </w:p>
    <w:p w14:paraId="5D087AF0" w14:textId="77777777" w:rsidR="00C80C1C" w:rsidRPr="00D143C6" w:rsidRDefault="00C80C1C" w:rsidP="00C80C1C">
      <w:pPr>
        <w:jc w:val="center"/>
        <w:rPr>
          <w:rFonts w:ascii="Book Antiqua" w:hAnsi="Book Antiqua"/>
          <w:b/>
          <w:bCs/>
          <w:sz w:val="24"/>
          <w:szCs w:val="24"/>
        </w:rPr>
      </w:pPr>
    </w:p>
    <w:p w14:paraId="296136F6" w14:textId="2FFEFAF4" w:rsidR="00C80C1C" w:rsidRPr="00D143C6" w:rsidRDefault="00C80C1C" w:rsidP="00C80C1C">
      <w:pPr>
        <w:spacing w:line="240" w:lineRule="auto"/>
        <w:rPr>
          <w:rFonts w:ascii="Book Antiqua" w:hAnsi="Book Antiqua"/>
          <w:sz w:val="24"/>
          <w:szCs w:val="24"/>
        </w:rPr>
      </w:pPr>
      <w:r w:rsidRPr="00D143C6">
        <w:rPr>
          <w:rFonts w:ascii="Book Antiqua" w:hAnsi="Book Antiqua"/>
          <w:sz w:val="24"/>
          <w:szCs w:val="24"/>
        </w:rPr>
        <w:tab/>
        <w:t>After carefully reviewing the record in this proceeding, having considered the LEAC Filing of GPA</w:t>
      </w:r>
      <w:r>
        <w:rPr>
          <w:rFonts w:ascii="Book Antiqua" w:hAnsi="Book Antiqua"/>
          <w:sz w:val="24"/>
          <w:szCs w:val="24"/>
        </w:rPr>
        <w:t xml:space="preserve">, </w:t>
      </w:r>
      <w:r w:rsidRPr="00D143C6">
        <w:rPr>
          <w:rFonts w:ascii="Book Antiqua" w:hAnsi="Book Antiqua"/>
          <w:sz w:val="24"/>
          <w:szCs w:val="24"/>
        </w:rPr>
        <w:t xml:space="preserve">and the Administrative Law Judge Report, and after discussion at a duly noticed regular meeting held on </w:t>
      </w:r>
      <w:r>
        <w:rPr>
          <w:rFonts w:ascii="Book Antiqua" w:hAnsi="Book Antiqua"/>
          <w:sz w:val="24"/>
          <w:szCs w:val="24"/>
        </w:rPr>
        <w:t>July 30</w:t>
      </w:r>
      <w:r w:rsidRPr="00D143C6">
        <w:rPr>
          <w:rFonts w:ascii="Book Antiqua" w:hAnsi="Book Antiqua"/>
          <w:sz w:val="24"/>
          <w:szCs w:val="24"/>
        </w:rPr>
        <w:t xml:space="preserve">, 2020, for good cause shown and on </w:t>
      </w:r>
      <w:r w:rsidRPr="00D143C6">
        <w:rPr>
          <w:rFonts w:ascii="Book Antiqua" w:hAnsi="Book Antiqua"/>
          <w:sz w:val="24"/>
          <w:szCs w:val="24"/>
        </w:rPr>
        <w:lastRenderedPageBreak/>
        <w:t xml:space="preserve">motion duly made, seconded and carried by affirmative vote of the undersigned Commissioners, the Guam Public Utilities Commission hereby </w:t>
      </w:r>
      <w:r w:rsidRPr="00D143C6">
        <w:rPr>
          <w:rFonts w:ascii="Book Antiqua" w:hAnsi="Book Antiqua"/>
          <w:b/>
          <w:bCs/>
          <w:sz w:val="24"/>
          <w:szCs w:val="24"/>
        </w:rPr>
        <w:t>ORDERS</w:t>
      </w:r>
      <w:r w:rsidRPr="00D143C6">
        <w:rPr>
          <w:rFonts w:ascii="Book Antiqua" w:hAnsi="Book Antiqua"/>
          <w:sz w:val="24"/>
          <w:szCs w:val="24"/>
        </w:rPr>
        <w:t xml:space="preserve"> that:</w:t>
      </w:r>
    </w:p>
    <w:p w14:paraId="118632D1" w14:textId="77777777" w:rsidR="00C80C1C" w:rsidRPr="00D143C6" w:rsidRDefault="00C80C1C" w:rsidP="00C80C1C">
      <w:pPr>
        <w:spacing w:line="240" w:lineRule="auto"/>
        <w:rPr>
          <w:rFonts w:ascii="Book Antiqua" w:hAnsi="Book Antiqua"/>
          <w:sz w:val="24"/>
          <w:szCs w:val="24"/>
        </w:rPr>
      </w:pPr>
    </w:p>
    <w:p w14:paraId="64583F49" w14:textId="3E5AA1FA" w:rsidR="00C80C1C" w:rsidRPr="00D143C6" w:rsidRDefault="00C80C1C" w:rsidP="00C80C1C">
      <w:pPr>
        <w:spacing w:line="240" w:lineRule="auto"/>
        <w:rPr>
          <w:rFonts w:ascii="Book Antiqua" w:hAnsi="Book Antiqua"/>
          <w:sz w:val="24"/>
          <w:szCs w:val="24"/>
        </w:rPr>
      </w:pPr>
      <w:r w:rsidRPr="00D143C6">
        <w:rPr>
          <w:rFonts w:ascii="Book Antiqua" w:hAnsi="Book Antiqua"/>
          <w:sz w:val="24"/>
          <w:szCs w:val="24"/>
        </w:rPr>
        <w:t>1.</w:t>
      </w:r>
      <w:r w:rsidRPr="00D143C6">
        <w:rPr>
          <w:rFonts w:ascii="Book Antiqua" w:hAnsi="Book Antiqua"/>
          <w:sz w:val="24"/>
          <w:szCs w:val="24"/>
        </w:rPr>
        <w:tab/>
        <w:t xml:space="preserve">The secondary Fuel Recovery Factor of </w:t>
      </w:r>
      <w:bookmarkStart w:id="10" w:name="_Hlk41377156"/>
      <w:r w:rsidR="00DD517A" w:rsidRPr="00DD517A">
        <w:rPr>
          <w:rFonts w:ascii="Book Antiqua" w:hAnsi="Book Antiqua"/>
          <w:sz w:val="24"/>
          <w:szCs w:val="24"/>
        </w:rPr>
        <w:t>$0.086800</w:t>
      </w:r>
      <w:bookmarkEnd w:id="10"/>
      <w:r w:rsidRPr="00D143C6">
        <w:rPr>
          <w:rFonts w:ascii="Book Antiqua" w:hAnsi="Book Antiqua"/>
          <w:sz w:val="24"/>
          <w:szCs w:val="24"/>
        </w:rPr>
        <w:t xml:space="preserve">/kWh shall </w:t>
      </w:r>
      <w:r w:rsidR="00DD517A">
        <w:rPr>
          <w:rFonts w:ascii="Book Antiqua" w:hAnsi="Book Antiqua"/>
          <w:sz w:val="24"/>
          <w:szCs w:val="24"/>
        </w:rPr>
        <w:t xml:space="preserve">remain in effect </w:t>
      </w:r>
      <w:r w:rsidRPr="00D143C6">
        <w:rPr>
          <w:rFonts w:ascii="Book Antiqua" w:hAnsi="Book Antiqua"/>
          <w:sz w:val="24"/>
          <w:szCs w:val="24"/>
        </w:rPr>
        <w:t xml:space="preserve">for </w:t>
      </w:r>
      <w:r>
        <w:rPr>
          <w:rFonts w:ascii="Book Antiqua" w:hAnsi="Book Antiqua"/>
          <w:sz w:val="24"/>
          <w:szCs w:val="24"/>
        </w:rPr>
        <w:tab/>
      </w:r>
      <w:r w:rsidRPr="00D143C6">
        <w:rPr>
          <w:rFonts w:ascii="Book Antiqua" w:hAnsi="Book Antiqua"/>
          <w:sz w:val="24"/>
          <w:szCs w:val="24"/>
        </w:rPr>
        <w:t xml:space="preserve">meters read on or after </w:t>
      </w:r>
      <w:r>
        <w:rPr>
          <w:rFonts w:ascii="Book Antiqua" w:hAnsi="Book Antiqua"/>
          <w:sz w:val="24"/>
          <w:szCs w:val="24"/>
        </w:rPr>
        <w:t xml:space="preserve">August </w:t>
      </w:r>
      <w:r w:rsidRPr="00D143C6">
        <w:rPr>
          <w:rFonts w:ascii="Book Antiqua" w:hAnsi="Book Antiqua"/>
          <w:sz w:val="24"/>
          <w:szCs w:val="24"/>
        </w:rPr>
        <w:t>1, 2020.</w:t>
      </w:r>
    </w:p>
    <w:p w14:paraId="2880B8AD" w14:textId="77777777" w:rsidR="00C80C1C" w:rsidRPr="00D143C6" w:rsidRDefault="00C80C1C" w:rsidP="00C80C1C">
      <w:pPr>
        <w:spacing w:line="240" w:lineRule="auto"/>
        <w:rPr>
          <w:rFonts w:ascii="Book Antiqua" w:hAnsi="Book Antiqua"/>
          <w:sz w:val="24"/>
          <w:szCs w:val="24"/>
        </w:rPr>
      </w:pPr>
    </w:p>
    <w:p w14:paraId="6D398090" w14:textId="0B770DC3" w:rsidR="00C80C1C" w:rsidRPr="00D143C6" w:rsidRDefault="00C80C1C" w:rsidP="00C80C1C">
      <w:pPr>
        <w:spacing w:line="240" w:lineRule="auto"/>
        <w:rPr>
          <w:rFonts w:ascii="Book Antiqua" w:hAnsi="Book Antiqua"/>
          <w:sz w:val="24"/>
          <w:szCs w:val="24"/>
        </w:rPr>
      </w:pPr>
      <w:r w:rsidRPr="00D143C6">
        <w:rPr>
          <w:rFonts w:ascii="Book Antiqua" w:hAnsi="Book Antiqua"/>
          <w:sz w:val="24"/>
          <w:szCs w:val="24"/>
        </w:rPr>
        <w:t>2.</w:t>
      </w:r>
      <w:r w:rsidRPr="00D143C6">
        <w:rPr>
          <w:rFonts w:ascii="Book Antiqua" w:hAnsi="Book Antiqua"/>
          <w:sz w:val="24"/>
          <w:szCs w:val="24"/>
        </w:rPr>
        <w:tab/>
        <w:t xml:space="preserve">The current singular LEAC factors </w:t>
      </w:r>
      <w:r w:rsidR="00DD517A">
        <w:rPr>
          <w:rFonts w:ascii="Book Antiqua" w:hAnsi="Book Antiqua"/>
          <w:sz w:val="24"/>
          <w:szCs w:val="24"/>
        </w:rPr>
        <w:t>shall remain in effect on and after</w:t>
      </w:r>
      <w:r w:rsidRPr="00D143C6">
        <w:rPr>
          <w:rFonts w:ascii="Book Antiqua" w:hAnsi="Book Antiqua"/>
          <w:sz w:val="24"/>
          <w:szCs w:val="24"/>
        </w:rPr>
        <w:t xml:space="preserve"> </w:t>
      </w:r>
      <w:r w:rsidR="008113F8">
        <w:rPr>
          <w:rFonts w:ascii="Book Antiqua" w:hAnsi="Book Antiqua"/>
          <w:sz w:val="24"/>
          <w:szCs w:val="24"/>
        </w:rPr>
        <w:t xml:space="preserve">August </w:t>
      </w:r>
      <w:r w:rsidRPr="00D143C6">
        <w:rPr>
          <w:rFonts w:ascii="Book Antiqua" w:hAnsi="Book Antiqua"/>
          <w:sz w:val="24"/>
          <w:szCs w:val="24"/>
        </w:rPr>
        <w:t xml:space="preserve">1, </w:t>
      </w:r>
      <w:r w:rsidR="00DD517A">
        <w:rPr>
          <w:rFonts w:ascii="Book Antiqua" w:hAnsi="Book Antiqua"/>
          <w:sz w:val="24"/>
          <w:szCs w:val="24"/>
        </w:rPr>
        <w:tab/>
      </w:r>
      <w:r w:rsidRPr="00D143C6">
        <w:rPr>
          <w:rFonts w:ascii="Book Antiqua" w:hAnsi="Book Antiqua"/>
          <w:sz w:val="24"/>
          <w:szCs w:val="24"/>
        </w:rPr>
        <w:t>2020, as shown in the following table:</w:t>
      </w:r>
    </w:p>
    <w:p w14:paraId="52060B99" w14:textId="77777777" w:rsidR="00C80C1C" w:rsidRPr="00D143C6" w:rsidRDefault="00C80C1C" w:rsidP="00C80C1C">
      <w:pPr>
        <w:spacing w:line="240" w:lineRule="auto"/>
        <w:rPr>
          <w:rFonts w:ascii="Book Antiqua" w:hAnsi="Book Antiqua"/>
          <w:sz w:val="24"/>
          <w:szCs w:val="24"/>
        </w:rPr>
      </w:pPr>
    </w:p>
    <w:p w14:paraId="5980E386" w14:textId="4D48E372" w:rsidR="00C80C1C" w:rsidRPr="00D143C6" w:rsidRDefault="00C80C1C" w:rsidP="00C80C1C">
      <w:pPr>
        <w:spacing w:line="240" w:lineRule="auto"/>
        <w:rPr>
          <w:rFonts w:ascii="Book Antiqua" w:hAnsi="Book Antiqua"/>
          <w:sz w:val="24"/>
          <w:szCs w:val="24"/>
        </w:rPr>
      </w:pPr>
      <w:r w:rsidRPr="00D143C6">
        <w:rPr>
          <w:rFonts w:ascii="Book Antiqua" w:hAnsi="Book Antiqua"/>
          <w:sz w:val="24"/>
          <w:szCs w:val="24"/>
        </w:rPr>
        <w:tab/>
        <w:t>LEAC</w:t>
      </w:r>
    </w:p>
    <w:p w14:paraId="1B3BBD93" w14:textId="77777777" w:rsidR="00701DA0" w:rsidRPr="00701DA0" w:rsidRDefault="00C80C1C" w:rsidP="00701DA0">
      <w:pPr>
        <w:spacing w:line="240" w:lineRule="auto"/>
        <w:rPr>
          <w:rFonts w:ascii="Book Antiqua" w:hAnsi="Book Antiqua"/>
          <w:sz w:val="24"/>
          <w:szCs w:val="24"/>
        </w:rPr>
      </w:pPr>
      <w:r w:rsidRPr="00D143C6">
        <w:rPr>
          <w:rFonts w:ascii="Book Antiqua" w:hAnsi="Book Antiqua"/>
          <w:sz w:val="24"/>
          <w:szCs w:val="24"/>
        </w:rPr>
        <w:tab/>
      </w:r>
      <w:r w:rsidR="00701DA0" w:rsidRPr="00701DA0">
        <w:rPr>
          <w:rFonts w:ascii="Book Antiqua" w:hAnsi="Book Antiqua"/>
          <w:sz w:val="24"/>
          <w:szCs w:val="24"/>
        </w:rPr>
        <w:t>Delivery Classification</w:t>
      </w:r>
      <w:r w:rsidR="00701DA0" w:rsidRPr="00701DA0">
        <w:rPr>
          <w:rFonts w:ascii="Book Antiqua" w:hAnsi="Book Antiqua"/>
          <w:sz w:val="24"/>
          <w:szCs w:val="24"/>
        </w:rPr>
        <w:tab/>
        <w:t>$ per kWh</w:t>
      </w:r>
    </w:p>
    <w:p w14:paraId="5DE46C32" w14:textId="77777777" w:rsidR="00701DA0" w:rsidRPr="00701DA0" w:rsidRDefault="00701DA0" w:rsidP="00701DA0">
      <w:pPr>
        <w:spacing w:line="240" w:lineRule="auto"/>
        <w:rPr>
          <w:rFonts w:ascii="Book Antiqua" w:hAnsi="Book Antiqua"/>
          <w:sz w:val="24"/>
          <w:szCs w:val="24"/>
        </w:rPr>
      </w:pPr>
      <w:r w:rsidRPr="00701DA0">
        <w:rPr>
          <w:rFonts w:ascii="Book Antiqua" w:hAnsi="Book Antiqua"/>
          <w:sz w:val="24"/>
          <w:szCs w:val="24"/>
        </w:rPr>
        <w:tab/>
        <w:t>Secondary -</w:t>
      </w:r>
      <w:r w:rsidRPr="00701DA0">
        <w:rPr>
          <w:rFonts w:ascii="Book Antiqua" w:hAnsi="Book Antiqua"/>
          <w:sz w:val="24"/>
          <w:szCs w:val="24"/>
        </w:rPr>
        <w:tab/>
      </w:r>
      <w:r w:rsidRPr="00701DA0">
        <w:rPr>
          <w:rFonts w:ascii="Book Antiqua" w:hAnsi="Book Antiqua"/>
          <w:sz w:val="24"/>
          <w:szCs w:val="24"/>
        </w:rPr>
        <w:tab/>
      </w:r>
      <w:r w:rsidRPr="00701DA0">
        <w:rPr>
          <w:rFonts w:ascii="Book Antiqua" w:hAnsi="Book Antiqua"/>
          <w:sz w:val="24"/>
          <w:szCs w:val="24"/>
        </w:rPr>
        <w:tab/>
        <w:t xml:space="preserve">$0.086800 </w:t>
      </w:r>
    </w:p>
    <w:p w14:paraId="1F17920F" w14:textId="77777777" w:rsidR="00701DA0" w:rsidRPr="00701DA0" w:rsidRDefault="00701DA0" w:rsidP="00701DA0">
      <w:pPr>
        <w:spacing w:line="240" w:lineRule="auto"/>
        <w:rPr>
          <w:rFonts w:ascii="Book Antiqua" w:hAnsi="Book Antiqua"/>
          <w:sz w:val="24"/>
          <w:szCs w:val="24"/>
        </w:rPr>
      </w:pPr>
      <w:r w:rsidRPr="00701DA0">
        <w:rPr>
          <w:rFonts w:ascii="Book Antiqua" w:hAnsi="Book Antiqua"/>
          <w:sz w:val="24"/>
          <w:szCs w:val="24"/>
        </w:rPr>
        <w:tab/>
        <w:t>Primary – 13.8 KV</w:t>
      </w:r>
      <w:r w:rsidRPr="00701DA0">
        <w:rPr>
          <w:rFonts w:ascii="Book Antiqua" w:hAnsi="Book Antiqua"/>
          <w:sz w:val="24"/>
          <w:szCs w:val="24"/>
        </w:rPr>
        <w:tab/>
      </w:r>
      <w:r w:rsidRPr="00701DA0">
        <w:rPr>
          <w:rFonts w:ascii="Book Antiqua" w:hAnsi="Book Antiqua"/>
          <w:sz w:val="24"/>
          <w:szCs w:val="24"/>
        </w:rPr>
        <w:tab/>
        <w:t xml:space="preserve">$0.084200 </w:t>
      </w:r>
    </w:p>
    <w:p w14:paraId="664AFF65" w14:textId="77777777" w:rsidR="00701DA0" w:rsidRPr="00701DA0" w:rsidRDefault="00701DA0" w:rsidP="00701DA0">
      <w:pPr>
        <w:spacing w:line="240" w:lineRule="auto"/>
        <w:rPr>
          <w:rFonts w:ascii="Book Antiqua" w:hAnsi="Book Antiqua"/>
          <w:sz w:val="24"/>
          <w:szCs w:val="24"/>
        </w:rPr>
      </w:pPr>
      <w:r w:rsidRPr="00701DA0">
        <w:rPr>
          <w:rFonts w:ascii="Book Antiqua" w:hAnsi="Book Antiqua"/>
          <w:sz w:val="24"/>
          <w:szCs w:val="24"/>
        </w:rPr>
        <w:tab/>
        <w:t>Primary – 34.5 KV</w:t>
      </w:r>
      <w:r w:rsidRPr="00701DA0">
        <w:rPr>
          <w:rFonts w:ascii="Book Antiqua" w:hAnsi="Book Antiqua"/>
          <w:sz w:val="24"/>
          <w:szCs w:val="24"/>
        </w:rPr>
        <w:tab/>
      </w:r>
      <w:r w:rsidRPr="00701DA0">
        <w:rPr>
          <w:rFonts w:ascii="Book Antiqua" w:hAnsi="Book Antiqua"/>
          <w:sz w:val="24"/>
          <w:szCs w:val="24"/>
        </w:rPr>
        <w:tab/>
        <w:t>$0.083957</w:t>
      </w:r>
    </w:p>
    <w:p w14:paraId="123CC958" w14:textId="2B7961CF" w:rsidR="00C80C1C" w:rsidRPr="00D143C6" w:rsidRDefault="00701DA0" w:rsidP="00C80C1C">
      <w:pPr>
        <w:spacing w:line="240" w:lineRule="auto"/>
        <w:rPr>
          <w:rFonts w:ascii="Book Antiqua" w:hAnsi="Book Antiqua"/>
          <w:sz w:val="24"/>
          <w:szCs w:val="24"/>
        </w:rPr>
      </w:pPr>
      <w:r w:rsidRPr="00701DA0">
        <w:rPr>
          <w:rFonts w:ascii="Book Antiqua" w:hAnsi="Book Antiqua"/>
          <w:sz w:val="24"/>
          <w:szCs w:val="24"/>
        </w:rPr>
        <w:tab/>
        <w:t>Transmission – 115 KV</w:t>
      </w:r>
      <w:r w:rsidRPr="00701DA0">
        <w:rPr>
          <w:rFonts w:ascii="Book Antiqua" w:hAnsi="Book Antiqua"/>
          <w:sz w:val="24"/>
          <w:szCs w:val="24"/>
        </w:rPr>
        <w:tab/>
        <w:t>$0.082924</w:t>
      </w:r>
      <w:r w:rsidR="008E7223">
        <w:rPr>
          <w:rFonts w:ascii="Book Antiqua" w:hAnsi="Book Antiqua"/>
          <w:sz w:val="24"/>
          <w:szCs w:val="24"/>
        </w:rPr>
        <w:t xml:space="preserve">               </w:t>
      </w:r>
    </w:p>
    <w:p w14:paraId="47D36EE0" w14:textId="3D9A9DF7" w:rsidR="00C80C1C" w:rsidRPr="00D143C6" w:rsidRDefault="00C80C1C" w:rsidP="00F65DB3">
      <w:pPr>
        <w:spacing w:line="240" w:lineRule="auto"/>
        <w:rPr>
          <w:rFonts w:ascii="Book Antiqua" w:hAnsi="Book Antiqua"/>
          <w:sz w:val="24"/>
          <w:szCs w:val="24"/>
        </w:rPr>
      </w:pPr>
      <w:r w:rsidRPr="00D143C6">
        <w:rPr>
          <w:rFonts w:ascii="Book Antiqua" w:hAnsi="Book Antiqua"/>
          <w:sz w:val="24"/>
          <w:szCs w:val="24"/>
        </w:rPr>
        <w:tab/>
        <w:t xml:space="preserve">      </w:t>
      </w:r>
      <w:r>
        <w:rPr>
          <w:rFonts w:ascii="Book Antiqua" w:hAnsi="Book Antiqua"/>
          <w:sz w:val="24"/>
          <w:szCs w:val="24"/>
        </w:rPr>
        <w:t xml:space="preserve">    </w:t>
      </w:r>
      <w:r w:rsidRPr="00D143C6">
        <w:rPr>
          <w:rFonts w:ascii="Book Antiqua" w:hAnsi="Book Antiqua"/>
          <w:sz w:val="24"/>
          <w:szCs w:val="24"/>
        </w:rPr>
        <w:t xml:space="preserve"> </w:t>
      </w:r>
    </w:p>
    <w:p w14:paraId="1551560D" w14:textId="006BF031" w:rsidR="00C80C1C" w:rsidRDefault="00085A25" w:rsidP="00C80C1C">
      <w:pPr>
        <w:spacing w:line="240" w:lineRule="auto"/>
        <w:rPr>
          <w:rFonts w:ascii="Book Antiqua" w:hAnsi="Book Antiqua"/>
          <w:sz w:val="24"/>
          <w:szCs w:val="24"/>
        </w:rPr>
      </w:pPr>
      <w:r>
        <w:rPr>
          <w:rFonts w:ascii="Book Antiqua" w:hAnsi="Book Antiqua"/>
          <w:sz w:val="24"/>
          <w:szCs w:val="24"/>
        </w:rPr>
        <w:t>3</w:t>
      </w:r>
      <w:r w:rsidR="00C80C1C" w:rsidRPr="00D143C6">
        <w:rPr>
          <w:rFonts w:ascii="Book Antiqua" w:hAnsi="Book Antiqua"/>
          <w:sz w:val="24"/>
          <w:szCs w:val="24"/>
        </w:rPr>
        <w:t>.</w:t>
      </w:r>
      <w:r w:rsidR="00C80C1C" w:rsidRPr="00D143C6">
        <w:rPr>
          <w:rFonts w:ascii="Book Antiqua" w:hAnsi="Book Antiqua"/>
          <w:sz w:val="24"/>
          <w:szCs w:val="24"/>
        </w:rPr>
        <w:tab/>
        <w:t xml:space="preserve">As requested by GPA, the forecast of the Working Capital Fund Requirement </w:t>
      </w:r>
      <w:r w:rsidR="00C80C1C">
        <w:rPr>
          <w:rFonts w:ascii="Book Antiqua" w:hAnsi="Book Antiqua"/>
          <w:sz w:val="24"/>
          <w:szCs w:val="24"/>
        </w:rPr>
        <w:tab/>
      </w:r>
      <w:r w:rsidR="00C80C1C" w:rsidRPr="00D143C6">
        <w:rPr>
          <w:rFonts w:ascii="Book Antiqua" w:hAnsi="Book Antiqua"/>
          <w:sz w:val="24"/>
          <w:szCs w:val="24"/>
        </w:rPr>
        <w:t xml:space="preserve">will remain the same, so there will not be a change in the Working Capital </w:t>
      </w:r>
      <w:r w:rsidR="00C80C1C">
        <w:rPr>
          <w:rFonts w:ascii="Book Antiqua" w:hAnsi="Book Antiqua"/>
          <w:sz w:val="24"/>
          <w:szCs w:val="24"/>
        </w:rPr>
        <w:tab/>
      </w:r>
      <w:r w:rsidR="00C80C1C" w:rsidRPr="00D143C6">
        <w:rPr>
          <w:rFonts w:ascii="Book Antiqua" w:hAnsi="Book Antiqua"/>
          <w:sz w:val="24"/>
          <w:szCs w:val="24"/>
        </w:rPr>
        <w:t xml:space="preserve">Surcharge for the period of </w:t>
      </w:r>
      <w:r w:rsidR="0093346D">
        <w:rPr>
          <w:rFonts w:ascii="Book Antiqua" w:hAnsi="Book Antiqua"/>
          <w:sz w:val="24"/>
          <w:szCs w:val="24"/>
        </w:rPr>
        <w:t xml:space="preserve">August </w:t>
      </w:r>
      <w:r w:rsidR="00C80C1C" w:rsidRPr="00D143C6">
        <w:rPr>
          <w:rFonts w:ascii="Book Antiqua" w:hAnsi="Book Antiqua"/>
          <w:sz w:val="24"/>
          <w:szCs w:val="24"/>
        </w:rPr>
        <w:t>1, 2020, through J</w:t>
      </w:r>
      <w:r w:rsidR="0093346D">
        <w:rPr>
          <w:rFonts w:ascii="Book Antiqua" w:hAnsi="Book Antiqua"/>
          <w:sz w:val="24"/>
          <w:szCs w:val="24"/>
        </w:rPr>
        <w:t>anuary 31</w:t>
      </w:r>
      <w:r w:rsidR="00C80C1C" w:rsidRPr="00D143C6">
        <w:rPr>
          <w:rFonts w:ascii="Book Antiqua" w:hAnsi="Book Antiqua"/>
          <w:sz w:val="24"/>
          <w:szCs w:val="24"/>
        </w:rPr>
        <w:t>, 202</w:t>
      </w:r>
      <w:r w:rsidR="0093346D">
        <w:rPr>
          <w:rFonts w:ascii="Book Antiqua" w:hAnsi="Book Antiqua"/>
          <w:sz w:val="24"/>
          <w:szCs w:val="24"/>
        </w:rPr>
        <w:t>1</w:t>
      </w:r>
      <w:r w:rsidR="00C80C1C" w:rsidRPr="00D143C6">
        <w:rPr>
          <w:rFonts w:ascii="Book Antiqua" w:hAnsi="Book Antiqua"/>
          <w:sz w:val="24"/>
          <w:szCs w:val="24"/>
        </w:rPr>
        <w:t>.</w:t>
      </w:r>
    </w:p>
    <w:p w14:paraId="3A526B45" w14:textId="06EA07F8" w:rsidR="00085A25" w:rsidRDefault="00085A25" w:rsidP="00C80C1C">
      <w:pPr>
        <w:spacing w:line="240" w:lineRule="auto"/>
        <w:rPr>
          <w:rFonts w:ascii="Book Antiqua" w:hAnsi="Book Antiqua"/>
          <w:sz w:val="24"/>
          <w:szCs w:val="24"/>
        </w:rPr>
      </w:pPr>
    </w:p>
    <w:p w14:paraId="1145E68B" w14:textId="77777777" w:rsidR="00085A25" w:rsidRDefault="00085A25" w:rsidP="00085A25">
      <w:pPr>
        <w:spacing w:line="240" w:lineRule="auto"/>
        <w:rPr>
          <w:rFonts w:ascii="Book Antiqua" w:hAnsi="Book Antiqua"/>
          <w:bCs/>
          <w:sz w:val="24"/>
          <w:szCs w:val="24"/>
        </w:rPr>
      </w:pPr>
      <w:r>
        <w:rPr>
          <w:rFonts w:ascii="Book Antiqua" w:hAnsi="Book Antiqua"/>
          <w:sz w:val="24"/>
          <w:szCs w:val="24"/>
        </w:rPr>
        <w:t>4.</w:t>
      </w:r>
      <w:r>
        <w:rPr>
          <w:rFonts w:ascii="Book Antiqua" w:hAnsi="Book Antiqua"/>
          <w:sz w:val="24"/>
          <w:szCs w:val="24"/>
        </w:rPr>
        <w:tab/>
      </w:r>
      <w:r>
        <w:rPr>
          <w:rFonts w:ascii="Book Antiqua" w:hAnsi="Book Antiqua"/>
          <w:bCs/>
          <w:sz w:val="24"/>
          <w:szCs w:val="24"/>
        </w:rPr>
        <w:t xml:space="preserve">GPA should file for a change in the LEAC factors to be effective February 1, </w:t>
      </w:r>
    </w:p>
    <w:p w14:paraId="6B95B5BD" w14:textId="3458FC46" w:rsidR="00085A25" w:rsidRDefault="00085A25" w:rsidP="00085A25">
      <w:pPr>
        <w:spacing w:line="240" w:lineRule="auto"/>
        <w:rPr>
          <w:rFonts w:ascii="Book Antiqua" w:hAnsi="Book Antiqua"/>
          <w:bCs/>
          <w:sz w:val="24"/>
          <w:szCs w:val="24"/>
        </w:rPr>
      </w:pPr>
      <w:r>
        <w:rPr>
          <w:rFonts w:ascii="Book Antiqua" w:hAnsi="Book Antiqua"/>
          <w:bCs/>
          <w:sz w:val="24"/>
          <w:szCs w:val="24"/>
        </w:rPr>
        <w:t xml:space="preserve">            2021, on or before December 15, 202</w:t>
      </w:r>
      <w:r w:rsidR="0093346D">
        <w:rPr>
          <w:rFonts w:ascii="Book Antiqua" w:hAnsi="Book Antiqua"/>
          <w:bCs/>
          <w:sz w:val="24"/>
          <w:szCs w:val="24"/>
        </w:rPr>
        <w:t>0</w:t>
      </w:r>
      <w:r>
        <w:rPr>
          <w:rFonts w:ascii="Book Antiqua" w:hAnsi="Book Antiqua"/>
          <w:bCs/>
          <w:sz w:val="24"/>
          <w:szCs w:val="24"/>
        </w:rPr>
        <w:t>.</w:t>
      </w:r>
    </w:p>
    <w:p w14:paraId="54D2E5F7" w14:textId="39CD1B15" w:rsidR="00ED1AE7" w:rsidRDefault="00ED1AE7" w:rsidP="00085A25">
      <w:pPr>
        <w:spacing w:line="240" w:lineRule="auto"/>
        <w:rPr>
          <w:rFonts w:ascii="Book Antiqua" w:hAnsi="Book Antiqua"/>
          <w:bCs/>
          <w:sz w:val="24"/>
          <w:szCs w:val="24"/>
        </w:rPr>
      </w:pPr>
    </w:p>
    <w:p w14:paraId="0C94D31E" w14:textId="481F19B1" w:rsidR="00ED1AE7" w:rsidRDefault="00ED1AE7" w:rsidP="00085A25">
      <w:pPr>
        <w:spacing w:line="240" w:lineRule="auto"/>
        <w:rPr>
          <w:rFonts w:ascii="Book Antiqua" w:hAnsi="Book Antiqua"/>
          <w:bCs/>
          <w:sz w:val="24"/>
          <w:szCs w:val="24"/>
        </w:rPr>
      </w:pPr>
      <w:r>
        <w:rPr>
          <w:rFonts w:ascii="Book Antiqua" w:hAnsi="Book Antiqua"/>
          <w:bCs/>
          <w:sz w:val="24"/>
          <w:szCs w:val="24"/>
        </w:rPr>
        <w:t>5.</w:t>
      </w:r>
      <w:r>
        <w:rPr>
          <w:rFonts w:ascii="Book Antiqua" w:hAnsi="Book Antiqua"/>
          <w:bCs/>
          <w:sz w:val="24"/>
          <w:szCs w:val="24"/>
        </w:rPr>
        <w:tab/>
      </w:r>
      <w:r w:rsidRPr="00ED1AE7">
        <w:rPr>
          <w:rFonts w:ascii="Book Antiqua" w:hAnsi="Book Antiqua"/>
          <w:bCs/>
          <w:sz w:val="24"/>
          <w:szCs w:val="24"/>
        </w:rPr>
        <w:t xml:space="preserve">The ALJ is directed to monitor fuel prices on a monthly basis and the amount of </w:t>
      </w:r>
      <w:r>
        <w:rPr>
          <w:rFonts w:ascii="Book Antiqua" w:hAnsi="Book Antiqua"/>
          <w:bCs/>
          <w:sz w:val="24"/>
          <w:szCs w:val="24"/>
        </w:rPr>
        <w:tab/>
      </w:r>
      <w:r w:rsidRPr="00ED1AE7">
        <w:rPr>
          <w:rFonts w:ascii="Book Antiqua" w:hAnsi="Book Antiqua"/>
          <w:bCs/>
          <w:sz w:val="24"/>
          <w:szCs w:val="24"/>
        </w:rPr>
        <w:t xml:space="preserve">any under-recovery in fuel prices by GPA.  </w:t>
      </w:r>
    </w:p>
    <w:p w14:paraId="6C29864C" w14:textId="1011FA23" w:rsidR="00ED1AE7" w:rsidRDefault="00ED1AE7" w:rsidP="00085A25">
      <w:pPr>
        <w:spacing w:line="240" w:lineRule="auto"/>
        <w:rPr>
          <w:rFonts w:ascii="Book Antiqua" w:hAnsi="Book Antiqua"/>
          <w:bCs/>
          <w:sz w:val="24"/>
          <w:szCs w:val="24"/>
        </w:rPr>
      </w:pPr>
    </w:p>
    <w:p w14:paraId="1CB5D32E" w14:textId="551AA111" w:rsidR="00ED1AE7" w:rsidRDefault="00ED1AE7" w:rsidP="00085A25">
      <w:pPr>
        <w:spacing w:line="240" w:lineRule="auto"/>
        <w:rPr>
          <w:rFonts w:ascii="Book Antiqua" w:hAnsi="Book Antiqua"/>
          <w:bCs/>
          <w:sz w:val="24"/>
          <w:szCs w:val="24"/>
        </w:rPr>
      </w:pPr>
      <w:r>
        <w:rPr>
          <w:rFonts w:ascii="Book Antiqua" w:hAnsi="Book Antiqua"/>
          <w:bCs/>
          <w:sz w:val="24"/>
          <w:szCs w:val="24"/>
        </w:rPr>
        <w:t>6.</w:t>
      </w:r>
      <w:r>
        <w:rPr>
          <w:rFonts w:ascii="Book Antiqua" w:hAnsi="Book Antiqua"/>
          <w:bCs/>
          <w:sz w:val="24"/>
          <w:szCs w:val="24"/>
        </w:rPr>
        <w:tab/>
      </w:r>
      <w:r w:rsidRPr="00ED1AE7">
        <w:rPr>
          <w:rFonts w:ascii="Book Antiqua" w:hAnsi="Book Antiqua"/>
          <w:bCs/>
          <w:sz w:val="24"/>
          <w:szCs w:val="24"/>
        </w:rPr>
        <w:t>At its October Meeting, the PUC will review the current LEAC Factor</w:t>
      </w:r>
      <w:r>
        <w:rPr>
          <w:rFonts w:ascii="Book Antiqua" w:hAnsi="Book Antiqua"/>
          <w:bCs/>
          <w:sz w:val="24"/>
          <w:szCs w:val="24"/>
        </w:rPr>
        <w:t>,</w:t>
      </w:r>
      <w:r w:rsidRPr="00ED1AE7">
        <w:rPr>
          <w:rFonts w:ascii="Book Antiqua" w:hAnsi="Book Antiqua"/>
          <w:bCs/>
          <w:sz w:val="24"/>
          <w:szCs w:val="24"/>
        </w:rPr>
        <w:t xml:space="preserve"> </w:t>
      </w:r>
      <w:r>
        <w:rPr>
          <w:rFonts w:ascii="Book Antiqua" w:hAnsi="Book Antiqua"/>
          <w:bCs/>
          <w:sz w:val="24"/>
          <w:szCs w:val="24"/>
        </w:rPr>
        <w:tab/>
      </w:r>
      <w:r w:rsidRPr="00ED1AE7">
        <w:rPr>
          <w:rFonts w:ascii="Book Antiqua" w:hAnsi="Book Antiqua"/>
          <w:bCs/>
          <w:sz w:val="24"/>
          <w:szCs w:val="24"/>
        </w:rPr>
        <w:t>determine whether such factor continues to be appropriate</w:t>
      </w:r>
      <w:r>
        <w:rPr>
          <w:rFonts w:ascii="Book Antiqua" w:hAnsi="Book Antiqua"/>
          <w:bCs/>
          <w:sz w:val="24"/>
          <w:szCs w:val="24"/>
        </w:rPr>
        <w:t>,</w:t>
      </w:r>
      <w:r w:rsidRPr="00ED1AE7">
        <w:rPr>
          <w:rFonts w:ascii="Book Antiqua" w:hAnsi="Book Antiqua"/>
          <w:bCs/>
          <w:sz w:val="24"/>
          <w:szCs w:val="24"/>
        </w:rPr>
        <w:t xml:space="preserve"> and the nature and </w:t>
      </w:r>
      <w:r>
        <w:rPr>
          <w:rFonts w:ascii="Book Antiqua" w:hAnsi="Book Antiqua"/>
          <w:bCs/>
          <w:sz w:val="24"/>
          <w:szCs w:val="24"/>
        </w:rPr>
        <w:tab/>
      </w:r>
      <w:r w:rsidRPr="00ED1AE7">
        <w:rPr>
          <w:rFonts w:ascii="Book Antiqua" w:hAnsi="Book Antiqua"/>
          <w:bCs/>
          <w:sz w:val="24"/>
          <w:szCs w:val="24"/>
        </w:rPr>
        <w:t>extent of GPA under-recovery of fuel costs.</w:t>
      </w:r>
    </w:p>
    <w:p w14:paraId="071AA638" w14:textId="77777777" w:rsidR="00701DA0" w:rsidRPr="00085A25" w:rsidRDefault="00701DA0" w:rsidP="00085A25">
      <w:pPr>
        <w:spacing w:line="240" w:lineRule="auto"/>
        <w:rPr>
          <w:rFonts w:ascii="Book Antiqua" w:hAnsi="Book Antiqua"/>
          <w:bCs/>
          <w:sz w:val="24"/>
          <w:szCs w:val="24"/>
        </w:rPr>
      </w:pPr>
    </w:p>
    <w:p w14:paraId="138CDA5A" w14:textId="5216278E" w:rsidR="00C80C1C" w:rsidRPr="00D143C6" w:rsidRDefault="00ED1AE7" w:rsidP="00C80C1C">
      <w:pPr>
        <w:spacing w:line="240" w:lineRule="auto"/>
        <w:rPr>
          <w:rFonts w:ascii="Book Antiqua" w:hAnsi="Book Antiqua"/>
          <w:sz w:val="24"/>
          <w:szCs w:val="24"/>
        </w:rPr>
      </w:pPr>
      <w:r>
        <w:rPr>
          <w:rFonts w:ascii="Book Antiqua" w:hAnsi="Book Antiqua"/>
          <w:sz w:val="24"/>
          <w:szCs w:val="24"/>
        </w:rPr>
        <w:t>7</w:t>
      </w:r>
      <w:r w:rsidR="00C80C1C" w:rsidRPr="00D143C6">
        <w:rPr>
          <w:rFonts w:ascii="Book Antiqua" w:hAnsi="Book Antiqua"/>
          <w:sz w:val="24"/>
          <w:szCs w:val="24"/>
        </w:rPr>
        <w:t>.</w:t>
      </w:r>
      <w:r w:rsidR="00C80C1C" w:rsidRPr="00D143C6">
        <w:rPr>
          <w:rFonts w:ascii="Book Antiqua" w:hAnsi="Book Antiqua"/>
          <w:sz w:val="24"/>
          <w:szCs w:val="24"/>
        </w:rPr>
        <w:tab/>
        <w:t xml:space="preserve">GPA is ordered to pay the Commission’s regulatory fees and expenses, </w:t>
      </w:r>
      <w:r w:rsidR="00C80C1C">
        <w:rPr>
          <w:rFonts w:ascii="Book Antiqua" w:hAnsi="Book Antiqua"/>
          <w:sz w:val="24"/>
          <w:szCs w:val="24"/>
        </w:rPr>
        <w:tab/>
      </w:r>
      <w:r w:rsidR="00C80C1C" w:rsidRPr="00D143C6">
        <w:rPr>
          <w:rFonts w:ascii="Book Antiqua" w:hAnsi="Book Antiqua"/>
          <w:sz w:val="24"/>
          <w:szCs w:val="24"/>
        </w:rPr>
        <w:t xml:space="preserve">including, without limitation, consulting and counsel fees and the fees and </w:t>
      </w:r>
      <w:r w:rsidR="00C80C1C">
        <w:rPr>
          <w:rFonts w:ascii="Book Antiqua" w:hAnsi="Book Antiqua"/>
          <w:sz w:val="24"/>
          <w:szCs w:val="24"/>
        </w:rPr>
        <w:tab/>
      </w:r>
      <w:r w:rsidR="00C80C1C" w:rsidRPr="00D143C6">
        <w:rPr>
          <w:rFonts w:ascii="Book Antiqua" w:hAnsi="Book Antiqua"/>
          <w:sz w:val="24"/>
          <w:szCs w:val="24"/>
        </w:rPr>
        <w:t xml:space="preserve">expenses of conducting the hearing proceedings.  Assessment of PUC’s </w:t>
      </w:r>
      <w:r w:rsidR="00C80C1C">
        <w:rPr>
          <w:rFonts w:ascii="Book Antiqua" w:hAnsi="Book Antiqua"/>
          <w:sz w:val="24"/>
          <w:szCs w:val="24"/>
        </w:rPr>
        <w:tab/>
      </w:r>
      <w:r w:rsidR="00C80C1C" w:rsidRPr="00D143C6">
        <w:rPr>
          <w:rFonts w:ascii="Book Antiqua" w:hAnsi="Book Antiqua"/>
          <w:sz w:val="24"/>
          <w:szCs w:val="24"/>
        </w:rPr>
        <w:t xml:space="preserve">regulatory fees and expenses is authorized pursuant to 12 GCA §§12103(b) and </w:t>
      </w:r>
      <w:r w:rsidR="00C80C1C">
        <w:rPr>
          <w:rFonts w:ascii="Book Antiqua" w:hAnsi="Book Antiqua"/>
          <w:sz w:val="24"/>
          <w:szCs w:val="24"/>
        </w:rPr>
        <w:tab/>
      </w:r>
      <w:r w:rsidR="00C80C1C" w:rsidRPr="00D143C6">
        <w:rPr>
          <w:rFonts w:ascii="Book Antiqua" w:hAnsi="Book Antiqua"/>
          <w:sz w:val="24"/>
          <w:szCs w:val="24"/>
        </w:rPr>
        <w:t xml:space="preserve">12125(b), and Rule 40 of the Rules of Practice and Procedure before the Public </w:t>
      </w:r>
      <w:r w:rsidR="00C80C1C">
        <w:rPr>
          <w:rFonts w:ascii="Book Antiqua" w:hAnsi="Book Antiqua"/>
          <w:sz w:val="24"/>
          <w:szCs w:val="24"/>
        </w:rPr>
        <w:tab/>
      </w:r>
      <w:r w:rsidR="00C80C1C" w:rsidRPr="00D143C6">
        <w:rPr>
          <w:rFonts w:ascii="Book Antiqua" w:hAnsi="Book Antiqua"/>
          <w:sz w:val="24"/>
          <w:szCs w:val="24"/>
        </w:rPr>
        <w:t>Utilities Commission.</w:t>
      </w:r>
    </w:p>
    <w:p w14:paraId="1DA16B77" w14:textId="77777777" w:rsidR="00C80C1C" w:rsidRPr="00D143C6" w:rsidRDefault="00C80C1C" w:rsidP="00C80C1C">
      <w:pPr>
        <w:spacing w:line="240" w:lineRule="auto"/>
        <w:rPr>
          <w:rFonts w:ascii="Book Antiqua" w:hAnsi="Book Antiqua"/>
          <w:sz w:val="24"/>
          <w:szCs w:val="24"/>
        </w:rPr>
      </w:pPr>
    </w:p>
    <w:p w14:paraId="54A4739E" w14:textId="77777777" w:rsidR="00C80C1C" w:rsidRPr="00D143C6" w:rsidRDefault="00C80C1C" w:rsidP="00C80C1C">
      <w:pPr>
        <w:spacing w:line="240" w:lineRule="auto"/>
        <w:rPr>
          <w:rFonts w:ascii="Book Antiqua" w:hAnsi="Book Antiqua"/>
          <w:sz w:val="24"/>
          <w:szCs w:val="24"/>
        </w:rPr>
      </w:pPr>
    </w:p>
    <w:p w14:paraId="12415F9B" w14:textId="77777777" w:rsidR="00C80C1C" w:rsidRPr="00D143C6" w:rsidRDefault="00C80C1C" w:rsidP="00C80C1C">
      <w:pPr>
        <w:spacing w:line="240" w:lineRule="auto"/>
        <w:rPr>
          <w:rFonts w:ascii="Book Antiqua" w:hAnsi="Book Antiqua"/>
          <w:sz w:val="24"/>
          <w:szCs w:val="24"/>
        </w:rPr>
      </w:pPr>
    </w:p>
    <w:p w14:paraId="70FD7A5F" w14:textId="77777777" w:rsidR="00C80C1C" w:rsidRPr="00D143C6" w:rsidRDefault="00C80C1C" w:rsidP="00C80C1C">
      <w:pPr>
        <w:spacing w:line="240" w:lineRule="auto"/>
        <w:rPr>
          <w:rFonts w:ascii="Book Antiqua" w:hAnsi="Book Antiqua"/>
          <w:sz w:val="24"/>
          <w:szCs w:val="24"/>
        </w:rPr>
      </w:pPr>
    </w:p>
    <w:p w14:paraId="7FF357B9" w14:textId="71C6E42E" w:rsidR="00C80C1C" w:rsidRPr="00D143C6" w:rsidRDefault="00C80C1C" w:rsidP="00C80C1C">
      <w:pPr>
        <w:rPr>
          <w:rFonts w:ascii="Book Antiqua" w:hAnsi="Book Antiqua"/>
          <w:sz w:val="24"/>
          <w:szCs w:val="24"/>
        </w:rPr>
      </w:pPr>
      <w:r w:rsidRPr="00D143C6">
        <w:rPr>
          <w:rFonts w:ascii="Book Antiqua" w:hAnsi="Book Antiqua"/>
          <w:sz w:val="24"/>
          <w:szCs w:val="24"/>
        </w:rPr>
        <w:lastRenderedPageBreak/>
        <w:t xml:space="preserve">Dated this </w:t>
      </w:r>
      <w:r w:rsidR="002C4503">
        <w:rPr>
          <w:rFonts w:ascii="Book Antiqua" w:hAnsi="Book Antiqua"/>
          <w:sz w:val="24"/>
          <w:szCs w:val="24"/>
        </w:rPr>
        <w:t>30</w:t>
      </w:r>
      <w:r w:rsidRPr="00D143C6">
        <w:rPr>
          <w:rFonts w:ascii="Book Antiqua" w:hAnsi="Book Antiqua"/>
          <w:sz w:val="24"/>
          <w:szCs w:val="24"/>
        </w:rPr>
        <w:t xml:space="preserve">th day of </w:t>
      </w:r>
      <w:r w:rsidR="002C4503">
        <w:rPr>
          <w:rFonts w:ascii="Book Antiqua" w:hAnsi="Book Antiqua"/>
          <w:sz w:val="24"/>
          <w:szCs w:val="24"/>
        </w:rPr>
        <w:t>July</w:t>
      </w:r>
      <w:r w:rsidRPr="00D143C6">
        <w:rPr>
          <w:rFonts w:ascii="Book Antiqua" w:hAnsi="Book Antiqua"/>
          <w:sz w:val="24"/>
          <w:szCs w:val="24"/>
        </w:rPr>
        <w:t>, 2020.</w:t>
      </w:r>
    </w:p>
    <w:p w14:paraId="357960B3" w14:textId="77777777" w:rsidR="00C80C1C" w:rsidRDefault="00C80C1C" w:rsidP="00C80C1C">
      <w:pPr>
        <w:rPr>
          <w:rFonts w:ascii="Book Antiqua" w:hAnsi="Book Antiqua"/>
          <w:sz w:val="24"/>
          <w:szCs w:val="24"/>
        </w:rPr>
      </w:pPr>
    </w:p>
    <w:p w14:paraId="0C7F7CAF" w14:textId="77777777" w:rsidR="00C80C1C" w:rsidRPr="00D143C6" w:rsidRDefault="00C80C1C" w:rsidP="00C80C1C">
      <w:pPr>
        <w:rPr>
          <w:rFonts w:ascii="Book Antiqua" w:hAnsi="Book Antiqua"/>
          <w:sz w:val="24"/>
          <w:szCs w:val="24"/>
        </w:rPr>
      </w:pPr>
      <w:r w:rsidRPr="00D143C6">
        <w:rPr>
          <w:rFonts w:ascii="Book Antiqua" w:hAnsi="Book Antiqua"/>
          <w:sz w:val="24"/>
          <w:szCs w:val="24"/>
        </w:rPr>
        <w:t>__________________________</w:t>
      </w:r>
      <w:r w:rsidRPr="00D143C6">
        <w:rPr>
          <w:rFonts w:ascii="Book Antiqua" w:hAnsi="Book Antiqua"/>
          <w:sz w:val="24"/>
          <w:szCs w:val="24"/>
        </w:rPr>
        <w:tab/>
      </w:r>
      <w:r w:rsidRPr="00D143C6">
        <w:rPr>
          <w:rFonts w:ascii="Book Antiqua" w:hAnsi="Book Antiqua"/>
          <w:sz w:val="24"/>
          <w:szCs w:val="24"/>
        </w:rPr>
        <w:tab/>
        <w:t>____________________________</w:t>
      </w:r>
    </w:p>
    <w:p w14:paraId="11DF0E42" w14:textId="77777777" w:rsidR="00C80C1C" w:rsidRPr="00D143C6" w:rsidRDefault="00C80C1C" w:rsidP="00C80C1C">
      <w:pPr>
        <w:spacing w:line="240" w:lineRule="auto"/>
        <w:rPr>
          <w:rFonts w:ascii="Book Antiqua" w:hAnsi="Book Antiqua"/>
          <w:sz w:val="24"/>
          <w:szCs w:val="24"/>
        </w:rPr>
      </w:pPr>
      <w:r w:rsidRPr="00D143C6">
        <w:rPr>
          <w:rFonts w:ascii="Book Antiqua" w:hAnsi="Book Antiqua"/>
          <w:sz w:val="24"/>
          <w:szCs w:val="24"/>
        </w:rPr>
        <w:t>Jeffrey C. Johnson</w:t>
      </w:r>
      <w:r w:rsidRPr="00D143C6">
        <w:rPr>
          <w:rFonts w:ascii="Book Antiqua" w:hAnsi="Book Antiqua"/>
          <w:sz w:val="24"/>
          <w:szCs w:val="24"/>
        </w:rPr>
        <w:tab/>
      </w:r>
      <w:r w:rsidRPr="00D143C6">
        <w:rPr>
          <w:rFonts w:ascii="Book Antiqua" w:hAnsi="Book Antiqua"/>
          <w:sz w:val="24"/>
          <w:szCs w:val="24"/>
        </w:rPr>
        <w:tab/>
      </w:r>
      <w:r w:rsidRPr="00D143C6">
        <w:rPr>
          <w:rFonts w:ascii="Book Antiqua" w:hAnsi="Book Antiqua"/>
          <w:sz w:val="24"/>
          <w:szCs w:val="24"/>
        </w:rPr>
        <w:tab/>
      </w:r>
      <w:r w:rsidRPr="00D143C6">
        <w:rPr>
          <w:rFonts w:ascii="Book Antiqua" w:hAnsi="Book Antiqua"/>
          <w:sz w:val="24"/>
          <w:szCs w:val="24"/>
        </w:rPr>
        <w:tab/>
        <w:t>Rowena E. Perez-Camacho</w:t>
      </w:r>
      <w:r w:rsidRPr="00D143C6">
        <w:rPr>
          <w:rFonts w:ascii="Book Antiqua" w:hAnsi="Book Antiqua"/>
          <w:sz w:val="24"/>
          <w:szCs w:val="24"/>
        </w:rPr>
        <w:tab/>
      </w:r>
      <w:r w:rsidRPr="00D143C6">
        <w:rPr>
          <w:rFonts w:ascii="Book Antiqua" w:hAnsi="Book Antiqua"/>
          <w:sz w:val="24"/>
          <w:szCs w:val="24"/>
        </w:rPr>
        <w:tab/>
      </w:r>
    </w:p>
    <w:p w14:paraId="3532B4CC" w14:textId="77777777" w:rsidR="00C80C1C" w:rsidRPr="00D143C6" w:rsidRDefault="00C80C1C" w:rsidP="00C80C1C">
      <w:pPr>
        <w:spacing w:line="240" w:lineRule="auto"/>
        <w:rPr>
          <w:rFonts w:ascii="Book Antiqua" w:hAnsi="Book Antiqua"/>
          <w:sz w:val="24"/>
          <w:szCs w:val="24"/>
        </w:rPr>
      </w:pPr>
      <w:r w:rsidRPr="00D143C6">
        <w:rPr>
          <w:rFonts w:ascii="Book Antiqua" w:hAnsi="Book Antiqua"/>
          <w:sz w:val="24"/>
          <w:szCs w:val="24"/>
        </w:rPr>
        <w:t>Chairman</w:t>
      </w:r>
      <w:r w:rsidRPr="00D143C6">
        <w:rPr>
          <w:rFonts w:ascii="Book Antiqua" w:hAnsi="Book Antiqua"/>
          <w:sz w:val="24"/>
          <w:szCs w:val="24"/>
        </w:rPr>
        <w:tab/>
      </w:r>
      <w:r w:rsidRPr="00D143C6">
        <w:rPr>
          <w:rFonts w:ascii="Book Antiqua" w:hAnsi="Book Antiqua"/>
          <w:sz w:val="24"/>
          <w:szCs w:val="24"/>
        </w:rPr>
        <w:tab/>
      </w:r>
      <w:r w:rsidRPr="00D143C6">
        <w:rPr>
          <w:rFonts w:ascii="Book Antiqua" w:hAnsi="Book Antiqua"/>
          <w:sz w:val="24"/>
          <w:szCs w:val="24"/>
        </w:rPr>
        <w:tab/>
      </w:r>
      <w:r w:rsidRPr="00D143C6">
        <w:rPr>
          <w:rFonts w:ascii="Book Antiqua" w:hAnsi="Book Antiqua"/>
          <w:sz w:val="24"/>
          <w:szCs w:val="24"/>
        </w:rPr>
        <w:tab/>
      </w:r>
      <w:r w:rsidRPr="00D143C6">
        <w:rPr>
          <w:rFonts w:ascii="Book Antiqua" w:hAnsi="Book Antiqua"/>
          <w:sz w:val="24"/>
          <w:szCs w:val="24"/>
        </w:rPr>
        <w:tab/>
        <w:t>Commissioner</w:t>
      </w:r>
    </w:p>
    <w:p w14:paraId="754EC023" w14:textId="77777777" w:rsidR="00C80C1C" w:rsidRPr="00D143C6" w:rsidRDefault="00C80C1C" w:rsidP="00C80C1C">
      <w:pPr>
        <w:spacing w:line="240" w:lineRule="auto"/>
        <w:rPr>
          <w:rFonts w:ascii="Book Antiqua" w:hAnsi="Book Antiqua"/>
          <w:sz w:val="24"/>
          <w:szCs w:val="24"/>
        </w:rPr>
      </w:pPr>
    </w:p>
    <w:p w14:paraId="692DEA3C" w14:textId="77777777" w:rsidR="00C80C1C" w:rsidRPr="00D143C6" w:rsidRDefault="00C80C1C" w:rsidP="00C80C1C">
      <w:pPr>
        <w:spacing w:line="240" w:lineRule="auto"/>
        <w:rPr>
          <w:rFonts w:ascii="Book Antiqua" w:hAnsi="Book Antiqua"/>
          <w:sz w:val="24"/>
          <w:szCs w:val="24"/>
        </w:rPr>
      </w:pPr>
    </w:p>
    <w:p w14:paraId="217FF2D0" w14:textId="77777777" w:rsidR="00C80C1C" w:rsidRPr="00D143C6" w:rsidRDefault="00C80C1C" w:rsidP="00C80C1C">
      <w:pPr>
        <w:spacing w:line="240" w:lineRule="auto"/>
        <w:rPr>
          <w:rFonts w:ascii="Book Antiqua" w:hAnsi="Book Antiqua"/>
          <w:sz w:val="24"/>
          <w:szCs w:val="24"/>
        </w:rPr>
      </w:pPr>
      <w:r w:rsidRPr="00D143C6">
        <w:rPr>
          <w:rFonts w:ascii="Book Antiqua" w:hAnsi="Book Antiqua"/>
          <w:sz w:val="24"/>
          <w:szCs w:val="24"/>
        </w:rPr>
        <w:t>___________________________</w:t>
      </w:r>
      <w:r w:rsidRPr="00D143C6">
        <w:rPr>
          <w:rFonts w:ascii="Book Antiqua" w:hAnsi="Book Antiqua"/>
          <w:sz w:val="24"/>
          <w:szCs w:val="24"/>
        </w:rPr>
        <w:tab/>
      </w:r>
      <w:r w:rsidRPr="00D143C6">
        <w:rPr>
          <w:rFonts w:ascii="Book Antiqua" w:hAnsi="Book Antiqua"/>
          <w:sz w:val="24"/>
          <w:szCs w:val="24"/>
        </w:rPr>
        <w:tab/>
        <w:t>_____________________________</w:t>
      </w:r>
    </w:p>
    <w:p w14:paraId="4492E86F" w14:textId="77777777" w:rsidR="00C80C1C" w:rsidRPr="00D143C6" w:rsidRDefault="00C80C1C" w:rsidP="00C80C1C">
      <w:pPr>
        <w:spacing w:line="240" w:lineRule="auto"/>
        <w:rPr>
          <w:rFonts w:ascii="Book Antiqua" w:hAnsi="Book Antiqua"/>
          <w:sz w:val="24"/>
          <w:szCs w:val="24"/>
        </w:rPr>
      </w:pPr>
      <w:r w:rsidRPr="00D143C6">
        <w:rPr>
          <w:rFonts w:ascii="Book Antiqua" w:hAnsi="Book Antiqua"/>
          <w:sz w:val="24"/>
          <w:szCs w:val="24"/>
        </w:rPr>
        <w:t xml:space="preserve">Joseph M. McDonald </w:t>
      </w:r>
      <w:r w:rsidRPr="00D143C6">
        <w:rPr>
          <w:rFonts w:ascii="Book Antiqua" w:hAnsi="Book Antiqua"/>
          <w:sz w:val="24"/>
          <w:szCs w:val="24"/>
        </w:rPr>
        <w:tab/>
      </w:r>
      <w:r w:rsidRPr="00D143C6">
        <w:rPr>
          <w:rFonts w:ascii="Book Antiqua" w:hAnsi="Book Antiqua"/>
          <w:sz w:val="24"/>
          <w:szCs w:val="24"/>
        </w:rPr>
        <w:tab/>
      </w:r>
      <w:r w:rsidRPr="00D143C6">
        <w:rPr>
          <w:rFonts w:ascii="Book Antiqua" w:hAnsi="Book Antiqua"/>
          <w:sz w:val="24"/>
          <w:szCs w:val="24"/>
        </w:rPr>
        <w:tab/>
        <w:t>Michael A. Pangelinan</w:t>
      </w:r>
    </w:p>
    <w:p w14:paraId="52EBC01E" w14:textId="77777777" w:rsidR="00C80C1C" w:rsidRPr="00D143C6" w:rsidRDefault="00C80C1C" w:rsidP="00C80C1C">
      <w:pPr>
        <w:spacing w:line="240" w:lineRule="auto"/>
        <w:rPr>
          <w:rFonts w:ascii="Book Antiqua" w:hAnsi="Book Antiqua"/>
          <w:sz w:val="24"/>
          <w:szCs w:val="24"/>
        </w:rPr>
      </w:pPr>
      <w:r w:rsidRPr="00D143C6">
        <w:rPr>
          <w:rFonts w:ascii="Book Antiqua" w:hAnsi="Book Antiqua"/>
          <w:sz w:val="24"/>
          <w:szCs w:val="24"/>
        </w:rPr>
        <w:t>Commissioner</w:t>
      </w:r>
      <w:r w:rsidRPr="00D143C6">
        <w:rPr>
          <w:rFonts w:ascii="Book Antiqua" w:hAnsi="Book Antiqua"/>
          <w:sz w:val="24"/>
          <w:szCs w:val="24"/>
        </w:rPr>
        <w:tab/>
      </w:r>
      <w:r w:rsidRPr="00D143C6">
        <w:rPr>
          <w:rFonts w:ascii="Book Antiqua" w:hAnsi="Book Antiqua"/>
          <w:sz w:val="24"/>
          <w:szCs w:val="24"/>
        </w:rPr>
        <w:tab/>
      </w:r>
      <w:r w:rsidRPr="00D143C6">
        <w:rPr>
          <w:rFonts w:ascii="Book Antiqua" w:hAnsi="Book Antiqua"/>
          <w:sz w:val="24"/>
          <w:szCs w:val="24"/>
        </w:rPr>
        <w:tab/>
      </w:r>
      <w:r w:rsidRPr="00D143C6">
        <w:rPr>
          <w:rFonts w:ascii="Book Antiqua" w:hAnsi="Book Antiqua"/>
          <w:sz w:val="24"/>
          <w:szCs w:val="24"/>
        </w:rPr>
        <w:tab/>
        <w:t>Commissioner</w:t>
      </w:r>
    </w:p>
    <w:p w14:paraId="393617EA" w14:textId="77777777" w:rsidR="00C80C1C" w:rsidRPr="00D143C6" w:rsidRDefault="00C80C1C" w:rsidP="00C80C1C">
      <w:pPr>
        <w:spacing w:line="240" w:lineRule="auto"/>
        <w:rPr>
          <w:rFonts w:ascii="Book Antiqua" w:hAnsi="Book Antiqua"/>
          <w:sz w:val="24"/>
          <w:szCs w:val="24"/>
        </w:rPr>
      </w:pPr>
    </w:p>
    <w:p w14:paraId="6B403DC1" w14:textId="77777777" w:rsidR="00C80C1C" w:rsidRPr="00D143C6" w:rsidRDefault="00C80C1C" w:rsidP="00C80C1C">
      <w:pPr>
        <w:spacing w:line="240" w:lineRule="auto"/>
        <w:rPr>
          <w:rFonts w:ascii="Book Antiqua" w:hAnsi="Book Antiqua"/>
          <w:sz w:val="24"/>
          <w:szCs w:val="24"/>
        </w:rPr>
      </w:pPr>
    </w:p>
    <w:p w14:paraId="1A8DF579" w14:textId="77777777" w:rsidR="00C80C1C" w:rsidRPr="00D143C6" w:rsidRDefault="00C80C1C" w:rsidP="00C80C1C">
      <w:pPr>
        <w:spacing w:line="240" w:lineRule="auto"/>
        <w:rPr>
          <w:rFonts w:ascii="Book Antiqua" w:hAnsi="Book Antiqua"/>
          <w:sz w:val="24"/>
          <w:szCs w:val="24"/>
        </w:rPr>
      </w:pPr>
      <w:r w:rsidRPr="00D143C6">
        <w:rPr>
          <w:rFonts w:ascii="Book Antiqua" w:hAnsi="Book Antiqua"/>
          <w:sz w:val="24"/>
          <w:szCs w:val="24"/>
        </w:rPr>
        <w:t>__________________________</w:t>
      </w:r>
      <w:r w:rsidRPr="00D143C6">
        <w:rPr>
          <w:rFonts w:ascii="Book Antiqua" w:hAnsi="Book Antiqua"/>
          <w:sz w:val="24"/>
          <w:szCs w:val="24"/>
        </w:rPr>
        <w:tab/>
      </w:r>
      <w:r w:rsidRPr="00D143C6">
        <w:rPr>
          <w:rFonts w:ascii="Book Antiqua" w:hAnsi="Book Antiqua"/>
          <w:sz w:val="24"/>
          <w:szCs w:val="24"/>
        </w:rPr>
        <w:tab/>
        <w:t>_____________________________</w:t>
      </w:r>
    </w:p>
    <w:p w14:paraId="530EED36" w14:textId="77777777" w:rsidR="00C80C1C" w:rsidRPr="00D143C6" w:rsidRDefault="00C80C1C" w:rsidP="00C80C1C">
      <w:pPr>
        <w:spacing w:line="240" w:lineRule="auto"/>
        <w:rPr>
          <w:rFonts w:ascii="Book Antiqua" w:hAnsi="Book Antiqua"/>
          <w:sz w:val="24"/>
          <w:szCs w:val="24"/>
        </w:rPr>
      </w:pPr>
      <w:r w:rsidRPr="00D143C6">
        <w:rPr>
          <w:rFonts w:ascii="Book Antiqua" w:hAnsi="Book Antiqua"/>
          <w:sz w:val="24"/>
          <w:szCs w:val="24"/>
        </w:rPr>
        <w:t>Peter Montinola</w:t>
      </w:r>
      <w:r w:rsidRPr="00D143C6">
        <w:rPr>
          <w:rFonts w:ascii="Book Antiqua" w:hAnsi="Book Antiqua"/>
          <w:sz w:val="24"/>
          <w:szCs w:val="24"/>
        </w:rPr>
        <w:tab/>
      </w:r>
      <w:r w:rsidRPr="00D143C6">
        <w:rPr>
          <w:rFonts w:ascii="Book Antiqua" w:hAnsi="Book Antiqua"/>
          <w:sz w:val="24"/>
          <w:szCs w:val="24"/>
        </w:rPr>
        <w:tab/>
      </w:r>
      <w:r w:rsidRPr="00D143C6">
        <w:rPr>
          <w:rFonts w:ascii="Book Antiqua" w:hAnsi="Book Antiqua"/>
          <w:sz w:val="24"/>
          <w:szCs w:val="24"/>
        </w:rPr>
        <w:tab/>
      </w:r>
      <w:r w:rsidRPr="00D143C6">
        <w:rPr>
          <w:rFonts w:ascii="Book Antiqua" w:hAnsi="Book Antiqua"/>
          <w:sz w:val="24"/>
          <w:szCs w:val="24"/>
        </w:rPr>
        <w:tab/>
        <w:t>Doris Flores Brooks</w:t>
      </w:r>
    </w:p>
    <w:p w14:paraId="7EAF0AAD" w14:textId="77777777" w:rsidR="00C80C1C" w:rsidRPr="00D143C6" w:rsidRDefault="00C80C1C" w:rsidP="00C80C1C">
      <w:pPr>
        <w:spacing w:line="240" w:lineRule="auto"/>
        <w:rPr>
          <w:rFonts w:ascii="Book Antiqua" w:hAnsi="Book Antiqua"/>
          <w:sz w:val="24"/>
          <w:szCs w:val="24"/>
        </w:rPr>
      </w:pPr>
      <w:r w:rsidRPr="00D143C6">
        <w:rPr>
          <w:rFonts w:ascii="Book Antiqua" w:hAnsi="Book Antiqua"/>
          <w:sz w:val="24"/>
          <w:szCs w:val="24"/>
        </w:rPr>
        <w:t>Commissioner</w:t>
      </w:r>
      <w:r w:rsidRPr="00D143C6">
        <w:rPr>
          <w:rFonts w:ascii="Book Antiqua" w:hAnsi="Book Antiqua"/>
          <w:sz w:val="24"/>
          <w:szCs w:val="24"/>
        </w:rPr>
        <w:tab/>
      </w:r>
      <w:r w:rsidRPr="00D143C6">
        <w:rPr>
          <w:rFonts w:ascii="Book Antiqua" w:hAnsi="Book Antiqua"/>
          <w:sz w:val="24"/>
          <w:szCs w:val="24"/>
        </w:rPr>
        <w:tab/>
      </w:r>
      <w:r w:rsidRPr="00D143C6">
        <w:rPr>
          <w:rFonts w:ascii="Book Antiqua" w:hAnsi="Book Antiqua"/>
          <w:sz w:val="24"/>
          <w:szCs w:val="24"/>
        </w:rPr>
        <w:tab/>
      </w:r>
      <w:r w:rsidRPr="00D143C6">
        <w:rPr>
          <w:rFonts w:ascii="Book Antiqua" w:hAnsi="Book Antiqua"/>
          <w:sz w:val="24"/>
          <w:szCs w:val="24"/>
        </w:rPr>
        <w:tab/>
        <w:t>Commissioner</w:t>
      </w:r>
    </w:p>
    <w:p w14:paraId="1C399BCA" w14:textId="77777777" w:rsidR="00C80C1C" w:rsidRPr="00D143C6" w:rsidRDefault="00C80C1C" w:rsidP="00C80C1C">
      <w:pPr>
        <w:spacing w:line="240" w:lineRule="auto"/>
        <w:rPr>
          <w:rFonts w:ascii="Book Antiqua" w:hAnsi="Book Antiqua"/>
          <w:sz w:val="24"/>
          <w:szCs w:val="24"/>
        </w:rPr>
      </w:pPr>
    </w:p>
    <w:p w14:paraId="691A617B" w14:textId="77777777" w:rsidR="00C80C1C" w:rsidRPr="00D143C6" w:rsidRDefault="00C80C1C" w:rsidP="00C80C1C">
      <w:pPr>
        <w:spacing w:line="240" w:lineRule="auto"/>
        <w:rPr>
          <w:rFonts w:ascii="Book Antiqua" w:hAnsi="Book Antiqua"/>
          <w:sz w:val="24"/>
          <w:szCs w:val="24"/>
        </w:rPr>
      </w:pPr>
    </w:p>
    <w:p w14:paraId="341AA85E" w14:textId="77777777" w:rsidR="00C80C1C" w:rsidRPr="00D143C6" w:rsidRDefault="00C80C1C" w:rsidP="00C80C1C">
      <w:pPr>
        <w:spacing w:line="240" w:lineRule="auto"/>
        <w:rPr>
          <w:rFonts w:ascii="Book Antiqua" w:hAnsi="Book Antiqua"/>
          <w:sz w:val="24"/>
          <w:szCs w:val="24"/>
        </w:rPr>
      </w:pPr>
      <w:r w:rsidRPr="00D143C6">
        <w:rPr>
          <w:rFonts w:ascii="Book Antiqua" w:hAnsi="Book Antiqua"/>
          <w:sz w:val="24"/>
          <w:szCs w:val="24"/>
        </w:rPr>
        <w:t>_________________________</w:t>
      </w:r>
    </w:p>
    <w:p w14:paraId="7DB9DB36" w14:textId="77777777" w:rsidR="00C80C1C" w:rsidRPr="00D143C6" w:rsidRDefault="00C80C1C" w:rsidP="00C80C1C">
      <w:pPr>
        <w:spacing w:line="240" w:lineRule="auto"/>
        <w:rPr>
          <w:rFonts w:ascii="Book Antiqua" w:hAnsi="Book Antiqua"/>
          <w:sz w:val="24"/>
          <w:szCs w:val="24"/>
        </w:rPr>
      </w:pPr>
      <w:r w:rsidRPr="00D143C6">
        <w:rPr>
          <w:rFonts w:ascii="Book Antiqua" w:hAnsi="Book Antiqua"/>
          <w:sz w:val="24"/>
          <w:szCs w:val="24"/>
        </w:rPr>
        <w:t>Pedro S.N. Guerrero</w:t>
      </w:r>
    </w:p>
    <w:p w14:paraId="5E1BA83E" w14:textId="77777777" w:rsidR="00C80C1C" w:rsidRPr="00E44512" w:rsidRDefault="00C80C1C" w:rsidP="00C80C1C">
      <w:pPr>
        <w:spacing w:line="240" w:lineRule="auto"/>
        <w:rPr>
          <w:rFonts w:ascii="Book Antiqua" w:hAnsi="Book Antiqua"/>
          <w:sz w:val="24"/>
          <w:szCs w:val="24"/>
        </w:rPr>
      </w:pPr>
      <w:r w:rsidRPr="00D143C6">
        <w:rPr>
          <w:rFonts w:ascii="Book Antiqua" w:hAnsi="Book Antiqua"/>
          <w:sz w:val="24"/>
          <w:szCs w:val="24"/>
        </w:rPr>
        <w:t>Commissioner</w:t>
      </w:r>
    </w:p>
    <w:p w14:paraId="498A8740" w14:textId="603A8D28" w:rsidR="00546236" w:rsidRPr="00E44512" w:rsidRDefault="00546236" w:rsidP="00C80C1C">
      <w:pPr>
        <w:rPr>
          <w:rFonts w:ascii="Book Antiqua" w:hAnsi="Book Antiqua"/>
          <w:sz w:val="24"/>
          <w:szCs w:val="24"/>
        </w:rPr>
      </w:pPr>
    </w:p>
    <w:sectPr w:rsidR="00546236" w:rsidRPr="00E44512" w:rsidSect="00A775F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0085D" w14:textId="77777777" w:rsidR="003A1A39" w:rsidRDefault="003A1A39">
      <w:pPr>
        <w:spacing w:line="240" w:lineRule="auto"/>
      </w:pPr>
      <w:r>
        <w:separator/>
      </w:r>
    </w:p>
  </w:endnote>
  <w:endnote w:type="continuationSeparator" w:id="0">
    <w:p w14:paraId="32C41D0D" w14:textId="77777777" w:rsidR="003A1A39" w:rsidRDefault="003A1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E0CF" w14:textId="77777777" w:rsidR="00DB16BA" w:rsidRDefault="00DB1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678948"/>
      <w:docPartObj>
        <w:docPartGallery w:val="Page Numbers (Bottom of Page)"/>
        <w:docPartUnique/>
      </w:docPartObj>
    </w:sdtPr>
    <w:sdtEndPr>
      <w:rPr>
        <w:rFonts w:ascii="Book Antiqua" w:hAnsi="Book Antiqua"/>
        <w:noProof/>
        <w:sz w:val="24"/>
        <w:szCs w:val="24"/>
      </w:rPr>
    </w:sdtEndPr>
    <w:sdtContent>
      <w:p w14:paraId="0DE3AE31" w14:textId="77777777" w:rsidR="00A775F7" w:rsidRPr="00A775F7" w:rsidRDefault="00A775F7">
        <w:pPr>
          <w:pStyle w:val="Footer"/>
          <w:jc w:val="center"/>
          <w:rPr>
            <w:rFonts w:ascii="Book Antiqua" w:hAnsi="Book Antiqua"/>
            <w:sz w:val="24"/>
            <w:szCs w:val="24"/>
          </w:rPr>
        </w:pPr>
        <w:r w:rsidRPr="00A775F7">
          <w:rPr>
            <w:rFonts w:ascii="Book Antiqua" w:hAnsi="Book Antiqua"/>
            <w:sz w:val="24"/>
            <w:szCs w:val="24"/>
          </w:rPr>
          <w:fldChar w:fldCharType="begin"/>
        </w:r>
        <w:r w:rsidRPr="00A775F7">
          <w:rPr>
            <w:rFonts w:ascii="Book Antiqua" w:hAnsi="Book Antiqua"/>
            <w:sz w:val="24"/>
            <w:szCs w:val="24"/>
          </w:rPr>
          <w:instrText xml:space="preserve"> PAGE   \* MERGEFORMAT </w:instrText>
        </w:r>
        <w:r w:rsidRPr="00A775F7">
          <w:rPr>
            <w:rFonts w:ascii="Book Antiqua" w:hAnsi="Book Antiqua"/>
            <w:sz w:val="24"/>
            <w:szCs w:val="24"/>
          </w:rPr>
          <w:fldChar w:fldCharType="separate"/>
        </w:r>
        <w:r w:rsidR="007F640F">
          <w:rPr>
            <w:rFonts w:ascii="Book Antiqua" w:hAnsi="Book Antiqua"/>
            <w:noProof/>
            <w:sz w:val="24"/>
            <w:szCs w:val="24"/>
          </w:rPr>
          <w:t>3</w:t>
        </w:r>
        <w:r w:rsidRPr="00A775F7">
          <w:rPr>
            <w:rFonts w:ascii="Book Antiqua" w:hAnsi="Book Antiqua"/>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C8E6" w14:textId="77777777" w:rsidR="00DB16BA" w:rsidRDefault="00DB1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DB072" w14:textId="77777777" w:rsidR="003A1A39" w:rsidRDefault="003A1A39">
      <w:pPr>
        <w:spacing w:line="240" w:lineRule="auto"/>
      </w:pPr>
      <w:r>
        <w:separator/>
      </w:r>
    </w:p>
  </w:footnote>
  <w:footnote w:type="continuationSeparator" w:id="0">
    <w:p w14:paraId="10F68C0D" w14:textId="77777777" w:rsidR="003A1A39" w:rsidRDefault="003A1A39">
      <w:pPr>
        <w:spacing w:line="240" w:lineRule="auto"/>
      </w:pPr>
      <w:r>
        <w:continuationSeparator/>
      </w:r>
    </w:p>
  </w:footnote>
  <w:footnote w:id="1">
    <w:p w14:paraId="19E0273F" w14:textId="555EDB48" w:rsidR="00513537" w:rsidRDefault="00513537">
      <w:pPr>
        <w:pStyle w:val="FootnoteText"/>
      </w:pPr>
      <w:r>
        <w:rPr>
          <w:rStyle w:val="FootnoteReference"/>
        </w:rPr>
        <w:footnoteRef/>
      </w:r>
      <w:r>
        <w:t xml:space="preserve"> </w:t>
      </w:r>
      <w:bookmarkStart w:id="2" w:name="_Hlk534554012"/>
      <w:r>
        <w:t>GPA</w:t>
      </w:r>
      <w:r w:rsidR="006358F2">
        <w:t xml:space="preserve"> </w:t>
      </w:r>
      <w:r>
        <w:t xml:space="preserve">LEAC </w:t>
      </w:r>
      <w:r w:rsidR="00DB4558">
        <w:t>F</w:t>
      </w:r>
      <w:r w:rsidR="00BA4A87">
        <w:t>iling, GPA Docket 20-13, filed May 22, 2020</w:t>
      </w:r>
      <w:r w:rsidR="00BA53D8">
        <w:t xml:space="preserve">.  </w:t>
      </w:r>
      <w:r w:rsidR="002629C5">
        <w:t xml:space="preserve"> </w:t>
      </w:r>
    </w:p>
    <w:bookmarkEnd w:id="2"/>
  </w:footnote>
  <w:footnote w:id="2">
    <w:p w14:paraId="630077D1" w14:textId="3B0B3A99" w:rsidR="00067959" w:rsidRDefault="00067959">
      <w:pPr>
        <w:pStyle w:val="FootnoteText"/>
      </w:pPr>
      <w:r>
        <w:rPr>
          <w:rStyle w:val="FootnoteReference"/>
        </w:rPr>
        <w:footnoteRef/>
      </w:r>
      <w:r>
        <w:t xml:space="preserve"> Id., at p. 1.</w:t>
      </w:r>
    </w:p>
  </w:footnote>
  <w:footnote w:id="3">
    <w:p w14:paraId="11B0D38B" w14:textId="7E822D60" w:rsidR="00B96AEB" w:rsidRDefault="00B96AEB">
      <w:pPr>
        <w:pStyle w:val="FootnoteText"/>
      </w:pPr>
      <w:r>
        <w:rPr>
          <w:rStyle w:val="FootnoteReference"/>
        </w:rPr>
        <w:footnoteRef/>
      </w:r>
      <w:r w:rsidR="001A7BC0">
        <w:t xml:space="preserve"> Email from Lenora M. Sanz, GPA Controller, to Frederick J. Horecky, PUC ALJ, dated July 20, 2020.</w:t>
      </w:r>
      <w:r>
        <w:t xml:space="preserve"> See GPA Proposed LEAC Rate, E</w:t>
      </w:r>
      <w:r w:rsidR="00E1691A">
        <w:t>xhibit</w:t>
      </w:r>
      <w:r>
        <w:t xml:space="preserve"> “A”, attached </w:t>
      </w:r>
      <w:r w:rsidR="0091341D">
        <w:t>to the ALJ Report</w:t>
      </w:r>
      <w:r>
        <w:t>.</w:t>
      </w:r>
      <w:r w:rsidR="001A7BC0">
        <w:t xml:space="preserve"> </w:t>
      </w:r>
      <w:r w:rsidR="001A7BC0" w:rsidRPr="001A7BC0">
        <w:t>Before the LEAC Factor is set for a particular period, GPA is required to provide an updated LEAC fuel forecast price based upon the average of the 5-day period which is 10 days before the meeting at which the PUC determines the LEAC Factor (PUC LEAC Order, GPA Docket 15-27, dated January 25, 2016, at p. 2).</w:t>
      </w:r>
    </w:p>
  </w:footnote>
  <w:footnote w:id="4">
    <w:p w14:paraId="43949150" w14:textId="4CB0067D" w:rsidR="00474E3E" w:rsidRDefault="00474E3E">
      <w:pPr>
        <w:pStyle w:val="FootnoteText"/>
      </w:pPr>
      <w:r>
        <w:rPr>
          <w:rStyle w:val="FootnoteReference"/>
        </w:rPr>
        <w:footnoteRef/>
      </w:r>
      <w:r>
        <w:t xml:space="preserve"> See PUC Order, GPA Docket 20-03, dated January 30, 2020, at p. 5 (reduction of LEAC Factor from $0.</w:t>
      </w:r>
      <w:bookmarkStart w:id="3" w:name="_Hlk46498314"/>
      <w:r>
        <w:t>1542</w:t>
      </w:r>
      <w:r w:rsidR="00290976">
        <w:t xml:space="preserve">42/kWh </w:t>
      </w:r>
      <w:bookmarkEnd w:id="3"/>
      <w:r w:rsidR="00290976">
        <w:t>to $0.131145/kWh); PUC Order, GPA Docket 20-12, dated March 26, 2020, at p. 3 (reduc</w:t>
      </w:r>
      <w:r w:rsidR="00E8702D">
        <w:t>tion of</w:t>
      </w:r>
      <w:r w:rsidR="00290976">
        <w:t xml:space="preserve"> LEAC Factor from $0.134474/kWh to $0.110039/kWh); and PUC Order, GPA Docket 20-12, dated May 28, 2020, at p.4 (reduc</w:t>
      </w:r>
      <w:r w:rsidR="00E8702D">
        <w:t>tion of</w:t>
      </w:r>
      <w:r w:rsidR="00290976">
        <w:t xml:space="preserve"> LEAC Factor from $0.110039/kWh to $0.08680/kWh).</w:t>
      </w:r>
    </w:p>
  </w:footnote>
  <w:footnote w:id="5">
    <w:p w14:paraId="16958701" w14:textId="0267C902" w:rsidR="006B0DE1" w:rsidRDefault="006B0DE1">
      <w:pPr>
        <w:pStyle w:val="FootnoteText"/>
      </w:pPr>
      <w:r>
        <w:rPr>
          <w:rStyle w:val="FootnoteReference"/>
        </w:rPr>
        <w:footnoteRef/>
      </w:r>
      <w:r>
        <w:t xml:space="preserve"> PUC Order, GPA Docket 20-12, dated May 28, 2020, at p. 2.</w:t>
      </w:r>
    </w:p>
  </w:footnote>
  <w:footnote w:id="6">
    <w:p w14:paraId="23CFB53A" w14:textId="09097870" w:rsidR="003D622E" w:rsidRDefault="003D622E">
      <w:pPr>
        <w:pStyle w:val="FootnoteText"/>
      </w:pPr>
      <w:r>
        <w:rPr>
          <w:rStyle w:val="FootnoteReference"/>
        </w:rPr>
        <w:footnoteRef/>
      </w:r>
      <w:r>
        <w:t xml:space="preserve"> Guam Consolidated Commission on Utilities, GPA Resolution No.: 2020-09, dated May 21, 2020.</w:t>
      </w:r>
    </w:p>
  </w:footnote>
  <w:footnote w:id="7">
    <w:p w14:paraId="39A063CA" w14:textId="0DD70B5F" w:rsidR="000B79C9" w:rsidRDefault="000B79C9">
      <w:pPr>
        <w:pStyle w:val="FootnoteText"/>
      </w:pPr>
      <w:r>
        <w:rPr>
          <w:rStyle w:val="FootnoteReference"/>
        </w:rPr>
        <w:footnoteRef/>
      </w:r>
      <w:r>
        <w:t xml:space="preserve"> </w:t>
      </w:r>
      <w:r w:rsidRPr="000B79C9">
        <w:t>PUC Order, GPA Docket 20-12, dated May 28, 2020, at p. 2.</w:t>
      </w:r>
    </w:p>
  </w:footnote>
  <w:footnote w:id="8">
    <w:p w14:paraId="6F50AF94" w14:textId="58F827A7" w:rsidR="0091341D" w:rsidRDefault="0091341D">
      <w:pPr>
        <w:pStyle w:val="FootnoteText"/>
      </w:pPr>
      <w:r>
        <w:rPr>
          <w:rStyle w:val="FootnoteReference"/>
        </w:rPr>
        <w:footnoteRef/>
      </w:r>
      <w:r>
        <w:t xml:space="preserve"> ALJ Report, GPA Docket 20-13, dated July 27, 2020.</w:t>
      </w:r>
    </w:p>
  </w:footnote>
  <w:footnote w:id="9">
    <w:p w14:paraId="79585B7E" w14:textId="77777777" w:rsidR="00663156" w:rsidRDefault="00663156" w:rsidP="00663156">
      <w:pPr>
        <w:pStyle w:val="FootnoteText"/>
      </w:pPr>
      <w:r>
        <w:rPr>
          <w:rStyle w:val="FootnoteReference"/>
        </w:rPr>
        <w:footnoteRef/>
      </w:r>
      <w:r>
        <w:t xml:space="preserve"> Id.</w:t>
      </w:r>
    </w:p>
  </w:footnote>
  <w:footnote w:id="10">
    <w:p w14:paraId="018DE6AF" w14:textId="77777777" w:rsidR="00D57910" w:rsidRDefault="00D57910" w:rsidP="00D57910">
      <w:pPr>
        <w:pStyle w:val="FootnoteText"/>
      </w:pPr>
      <w:r>
        <w:rPr>
          <w:rStyle w:val="FootnoteReference"/>
        </w:rPr>
        <w:footnoteRef/>
      </w:r>
      <w:r>
        <w:t xml:space="preserve"> Exhibit “A” attached to the ALJ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C1E7C" w14:textId="77777777" w:rsidR="00DB16BA" w:rsidRDefault="00DB1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B103B" w14:textId="38362379" w:rsidR="00300F5E" w:rsidRPr="008A0218" w:rsidRDefault="003A0C39" w:rsidP="00300F5E">
    <w:pPr>
      <w:pStyle w:val="Header"/>
      <w:spacing w:line="240" w:lineRule="auto"/>
      <w:rPr>
        <w:rFonts w:ascii="Book Antiqua" w:hAnsi="Book Antiqua"/>
      </w:rPr>
    </w:pPr>
    <w:r>
      <w:rPr>
        <w:rFonts w:ascii="Book Antiqua" w:hAnsi="Book Antiqua"/>
      </w:rPr>
      <w:t>Order</w:t>
    </w:r>
  </w:p>
  <w:p w14:paraId="305A55AA" w14:textId="2A8F5239" w:rsidR="00875A94" w:rsidRDefault="007125E3" w:rsidP="008A0218">
    <w:pPr>
      <w:pStyle w:val="Header"/>
      <w:spacing w:line="240" w:lineRule="auto"/>
      <w:rPr>
        <w:rFonts w:ascii="Book Antiqua" w:hAnsi="Book Antiqua"/>
      </w:rPr>
    </w:pPr>
    <w:r>
      <w:rPr>
        <w:rFonts w:ascii="Book Antiqua" w:hAnsi="Book Antiqua"/>
      </w:rPr>
      <w:t>GPA’s</w:t>
    </w:r>
    <w:r w:rsidR="002241BD">
      <w:rPr>
        <w:rFonts w:ascii="Book Antiqua" w:hAnsi="Book Antiqua"/>
      </w:rPr>
      <w:t xml:space="preserve"> </w:t>
    </w:r>
    <w:r w:rsidR="00875A94">
      <w:rPr>
        <w:rFonts w:ascii="Book Antiqua" w:hAnsi="Book Antiqua"/>
      </w:rPr>
      <w:t>LEAC</w:t>
    </w:r>
    <w:r w:rsidR="003A0C39">
      <w:rPr>
        <w:rFonts w:ascii="Book Antiqua" w:hAnsi="Book Antiqua"/>
      </w:rPr>
      <w:t xml:space="preserve"> Filing</w:t>
    </w:r>
  </w:p>
  <w:p w14:paraId="1495375F" w14:textId="6A3FC0FA" w:rsidR="008A0218" w:rsidRDefault="007558EB" w:rsidP="008A0218">
    <w:pPr>
      <w:pStyle w:val="Header"/>
      <w:spacing w:line="240" w:lineRule="auto"/>
      <w:rPr>
        <w:rFonts w:ascii="Book Antiqua" w:hAnsi="Book Antiqua"/>
      </w:rPr>
    </w:pPr>
    <w:r>
      <w:rPr>
        <w:rFonts w:ascii="Book Antiqua" w:hAnsi="Book Antiqua"/>
      </w:rPr>
      <w:t xml:space="preserve">GPA Docket </w:t>
    </w:r>
    <w:r w:rsidR="003E7FD0">
      <w:rPr>
        <w:rFonts w:ascii="Book Antiqua" w:hAnsi="Book Antiqua"/>
      </w:rPr>
      <w:t>20</w:t>
    </w:r>
    <w:r w:rsidR="0025116D">
      <w:rPr>
        <w:rFonts w:ascii="Book Antiqua" w:hAnsi="Book Antiqua"/>
      </w:rPr>
      <w:t>-</w:t>
    </w:r>
    <w:r w:rsidR="00F52573">
      <w:rPr>
        <w:rFonts w:ascii="Book Antiqua" w:hAnsi="Book Antiqua"/>
      </w:rPr>
      <w:t>1</w:t>
    </w:r>
    <w:r w:rsidR="006E6901">
      <w:rPr>
        <w:rFonts w:ascii="Book Antiqua" w:hAnsi="Book Antiqua"/>
      </w:rPr>
      <w:t>3</w:t>
    </w:r>
  </w:p>
  <w:p w14:paraId="3B79FE78" w14:textId="352E0521" w:rsidR="008A0218" w:rsidRDefault="006E6901" w:rsidP="008A0218">
    <w:pPr>
      <w:pStyle w:val="Header"/>
      <w:spacing w:line="240" w:lineRule="auto"/>
      <w:rPr>
        <w:rFonts w:ascii="Book Antiqua" w:hAnsi="Book Antiqua"/>
      </w:rPr>
    </w:pPr>
    <w:r>
      <w:rPr>
        <w:rFonts w:ascii="Book Antiqua" w:hAnsi="Book Antiqua"/>
      </w:rPr>
      <w:t>July</w:t>
    </w:r>
    <w:r w:rsidR="00F52573">
      <w:rPr>
        <w:rFonts w:ascii="Book Antiqua" w:hAnsi="Book Antiqua"/>
      </w:rPr>
      <w:t xml:space="preserve"> </w:t>
    </w:r>
    <w:r w:rsidR="003A0C39">
      <w:rPr>
        <w:rFonts w:ascii="Book Antiqua" w:hAnsi="Book Antiqua"/>
      </w:rPr>
      <w:t>30</w:t>
    </w:r>
    <w:r w:rsidR="00F52573">
      <w:rPr>
        <w:rFonts w:ascii="Book Antiqua" w:hAnsi="Book Antiqua"/>
      </w:rPr>
      <w:t>, 2020</w:t>
    </w:r>
  </w:p>
  <w:p w14:paraId="52241BF5" w14:textId="77777777" w:rsidR="008A0218" w:rsidRDefault="008A0218" w:rsidP="008A0218">
    <w:pPr>
      <w:pStyle w:val="Header"/>
      <w:spacing w:line="240" w:lineRule="auto"/>
      <w:rPr>
        <w:rFonts w:ascii="Book Antiqua" w:hAnsi="Book Antiqua"/>
      </w:rPr>
    </w:pPr>
    <w:r>
      <w:rPr>
        <w:rFonts w:ascii="Book Antiqua" w:hAnsi="Book Antiqua"/>
      </w:rPr>
      <w:t>___________________________________</w:t>
    </w:r>
  </w:p>
  <w:p w14:paraId="4E516217" w14:textId="77777777" w:rsidR="008A0218" w:rsidRPr="008A0218" w:rsidRDefault="008A0218" w:rsidP="008A0218">
    <w:pPr>
      <w:pStyle w:val="Header"/>
      <w:spacing w:line="240" w:lineRule="auto"/>
      <w:rPr>
        <w:rFonts w:ascii="Book Antiqua" w:hAnsi="Book Antiq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5BA0" w14:textId="77777777" w:rsidR="00DB16BA" w:rsidRDefault="00DB1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353"/>
    <w:multiLevelType w:val="hybridMultilevel"/>
    <w:tmpl w:val="2D6284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8892BEB"/>
    <w:multiLevelType w:val="hybridMultilevel"/>
    <w:tmpl w:val="15DCF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34B00"/>
    <w:multiLevelType w:val="hybridMultilevel"/>
    <w:tmpl w:val="26EA2EE8"/>
    <w:lvl w:ilvl="0" w:tplc="A14A0C3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696A18"/>
    <w:multiLevelType w:val="hybridMultilevel"/>
    <w:tmpl w:val="7B24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82331"/>
    <w:multiLevelType w:val="hybridMultilevel"/>
    <w:tmpl w:val="C5FC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250EA"/>
    <w:multiLevelType w:val="hybridMultilevel"/>
    <w:tmpl w:val="3F32D02C"/>
    <w:lvl w:ilvl="0" w:tplc="268E5D5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A008A"/>
    <w:multiLevelType w:val="hybridMultilevel"/>
    <w:tmpl w:val="942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A765C"/>
    <w:multiLevelType w:val="hybridMultilevel"/>
    <w:tmpl w:val="E48A2B84"/>
    <w:lvl w:ilvl="0" w:tplc="0DC24026">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47CB8"/>
    <w:multiLevelType w:val="hybridMultilevel"/>
    <w:tmpl w:val="DFC8908A"/>
    <w:lvl w:ilvl="0" w:tplc="A4D6271A">
      <w:start w:val="2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C5C8A"/>
    <w:multiLevelType w:val="hybridMultilevel"/>
    <w:tmpl w:val="879CD1C8"/>
    <w:lvl w:ilvl="0" w:tplc="68A27EC4">
      <w:start w:val="1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F3108"/>
    <w:multiLevelType w:val="hybridMultilevel"/>
    <w:tmpl w:val="83783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507D2"/>
    <w:multiLevelType w:val="hybridMultilevel"/>
    <w:tmpl w:val="6B3C37BA"/>
    <w:lvl w:ilvl="0" w:tplc="862A67A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F5C1B"/>
    <w:multiLevelType w:val="hybridMultilevel"/>
    <w:tmpl w:val="A3D0FB88"/>
    <w:lvl w:ilvl="0" w:tplc="F3DE45FC">
      <w:start w:val="1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E6868"/>
    <w:multiLevelType w:val="hybridMultilevel"/>
    <w:tmpl w:val="17BE377E"/>
    <w:lvl w:ilvl="0" w:tplc="7C0C7B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A630E"/>
    <w:multiLevelType w:val="hybridMultilevel"/>
    <w:tmpl w:val="9774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17B96"/>
    <w:multiLevelType w:val="hybridMultilevel"/>
    <w:tmpl w:val="FAECCCE8"/>
    <w:lvl w:ilvl="0" w:tplc="354882D4">
      <w:start w:val="1"/>
      <w:numFmt w:val="decimal"/>
      <w:lvlText w:val="%1."/>
      <w:lvlJc w:val="left"/>
      <w:pPr>
        <w:ind w:left="1152" w:hanging="360"/>
      </w:pPr>
      <w:rPr>
        <w:rFonts w:hint="default"/>
        <w:b w:val="0"/>
        <w:bC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6631FA3"/>
    <w:multiLevelType w:val="hybridMultilevel"/>
    <w:tmpl w:val="AED4A88C"/>
    <w:lvl w:ilvl="0" w:tplc="D232597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3AC97386"/>
    <w:multiLevelType w:val="hybridMultilevel"/>
    <w:tmpl w:val="7EDE842E"/>
    <w:lvl w:ilvl="0" w:tplc="CEC636D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6529D"/>
    <w:multiLevelType w:val="hybridMultilevel"/>
    <w:tmpl w:val="903A72CC"/>
    <w:lvl w:ilvl="0" w:tplc="E7460EE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84AA4"/>
    <w:multiLevelType w:val="hybridMultilevel"/>
    <w:tmpl w:val="B3F40F34"/>
    <w:lvl w:ilvl="0" w:tplc="7BA4C000">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BB2772"/>
    <w:multiLevelType w:val="hybridMultilevel"/>
    <w:tmpl w:val="124C2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C76DD"/>
    <w:multiLevelType w:val="hybridMultilevel"/>
    <w:tmpl w:val="AB1AA6A4"/>
    <w:lvl w:ilvl="0" w:tplc="CFF8DAB4">
      <w:start w:val="2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B110D"/>
    <w:multiLevelType w:val="hybridMultilevel"/>
    <w:tmpl w:val="1408BD5C"/>
    <w:lvl w:ilvl="0" w:tplc="CB32C8DC">
      <w:start w:val="11"/>
      <w:numFmt w:val="decimal"/>
      <w:lvlText w:val="%1."/>
      <w:lvlJc w:val="left"/>
      <w:pPr>
        <w:ind w:left="956" w:hanging="360"/>
      </w:pPr>
      <w:rPr>
        <w:rFonts w:hint="default"/>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23" w15:restartNumberingAfterBreak="0">
    <w:nsid w:val="58F86F11"/>
    <w:multiLevelType w:val="hybridMultilevel"/>
    <w:tmpl w:val="3BD83656"/>
    <w:lvl w:ilvl="0" w:tplc="F3DE45FC">
      <w:start w:val="1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8648F"/>
    <w:multiLevelType w:val="hybridMultilevel"/>
    <w:tmpl w:val="98128C4E"/>
    <w:lvl w:ilvl="0" w:tplc="BACA7ED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E9126BF"/>
    <w:multiLevelType w:val="hybridMultilevel"/>
    <w:tmpl w:val="617E7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B5F7A"/>
    <w:multiLevelType w:val="hybridMultilevel"/>
    <w:tmpl w:val="903A72CC"/>
    <w:lvl w:ilvl="0" w:tplc="E7460EE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A6789"/>
    <w:multiLevelType w:val="hybridMultilevel"/>
    <w:tmpl w:val="5D04E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EB2AB2"/>
    <w:multiLevelType w:val="hybridMultilevel"/>
    <w:tmpl w:val="40AC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A66BE"/>
    <w:multiLevelType w:val="hybridMultilevel"/>
    <w:tmpl w:val="C9265722"/>
    <w:lvl w:ilvl="0" w:tplc="443E72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E25E5"/>
    <w:multiLevelType w:val="hybridMultilevel"/>
    <w:tmpl w:val="E1CA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91D66"/>
    <w:multiLevelType w:val="hybridMultilevel"/>
    <w:tmpl w:val="1F042A40"/>
    <w:lvl w:ilvl="0" w:tplc="04F4522C">
      <w:start w:val="1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D587D"/>
    <w:multiLevelType w:val="hybridMultilevel"/>
    <w:tmpl w:val="0C20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B7F1D"/>
    <w:multiLevelType w:val="hybridMultilevel"/>
    <w:tmpl w:val="BB949524"/>
    <w:lvl w:ilvl="0" w:tplc="33CEBD9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10"/>
  </w:num>
  <w:num w:numId="4">
    <w:abstractNumId w:val="14"/>
  </w:num>
  <w:num w:numId="5">
    <w:abstractNumId w:val="13"/>
  </w:num>
  <w:num w:numId="6">
    <w:abstractNumId w:val="4"/>
  </w:num>
  <w:num w:numId="7">
    <w:abstractNumId w:val="6"/>
  </w:num>
  <w:num w:numId="8">
    <w:abstractNumId w:val="30"/>
  </w:num>
  <w:num w:numId="9">
    <w:abstractNumId w:val="32"/>
  </w:num>
  <w:num w:numId="10">
    <w:abstractNumId w:val="28"/>
  </w:num>
  <w:num w:numId="11">
    <w:abstractNumId w:val="25"/>
  </w:num>
  <w:num w:numId="12">
    <w:abstractNumId w:val="29"/>
  </w:num>
  <w:num w:numId="13">
    <w:abstractNumId w:val="3"/>
  </w:num>
  <w:num w:numId="14">
    <w:abstractNumId w:val="11"/>
  </w:num>
  <w:num w:numId="15">
    <w:abstractNumId w:val="33"/>
  </w:num>
  <w:num w:numId="16">
    <w:abstractNumId w:val="2"/>
  </w:num>
  <w:num w:numId="17">
    <w:abstractNumId w:val="7"/>
  </w:num>
  <w:num w:numId="18">
    <w:abstractNumId w:val="20"/>
  </w:num>
  <w:num w:numId="19">
    <w:abstractNumId w:val="22"/>
  </w:num>
  <w:num w:numId="20">
    <w:abstractNumId w:val="1"/>
  </w:num>
  <w:num w:numId="21">
    <w:abstractNumId w:val="15"/>
  </w:num>
  <w:num w:numId="22">
    <w:abstractNumId w:val="31"/>
  </w:num>
  <w:num w:numId="23">
    <w:abstractNumId w:val="12"/>
  </w:num>
  <w:num w:numId="24">
    <w:abstractNumId w:val="9"/>
  </w:num>
  <w:num w:numId="25">
    <w:abstractNumId w:val="23"/>
  </w:num>
  <w:num w:numId="26">
    <w:abstractNumId w:val="21"/>
  </w:num>
  <w:num w:numId="27">
    <w:abstractNumId w:val="26"/>
  </w:num>
  <w:num w:numId="28">
    <w:abstractNumId w:val="27"/>
  </w:num>
  <w:num w:numId="29">
    <w:abstractNumId w:val="17"/>
  </w:num>
  <w:num w:numId="30">
    <w:abstractNumId w:val="5"/>
  </w:num>
  <w:num w:numId="31">
    <w:abstractNumId w:val="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 "/>
    <w:docVar w:name="FSummaryInFtr" w:val="-1"/>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s>
  <w:rsids>
    <w:rsidRoot w:val="00940243"/>
    <w:rsid w:val="00001722"/>
    <w:rsid w:val="00002920"/>
    <w:rsid w:val="00003C4D"/>
    <w:rsid w:val="0000482B"/>
    <w:rsid w:val="00004BDC"/>
    <w:rsid w:val="000052FE"/>
    <w:rsid w:val="00006168"/>
    <w:rsid w:val="00006D42"/>
    <w:rsid w:val="00006F8C"/>
    <w:rsid w:val="00007FAA"/>
    <w:rsid w:val="000113FD"/>
    <w:rsid w:val="00014E8D"/>
    <w:rsid w:val="00014EA2"/>
    <w:rsid w:val="0001539A"/>
    <w:rsid w:val="00017512"/>
    <w:rsid w:val="000228BD"/>
    <w:rsid w:val="00023945"/>
    <w:rsid w:val="00026A55"/>
    <w:rsid w:val="00026D7E"/>
    <w:rsid w:val="00030A57"/>
    <w:rsid w:val="00035016"/>
    <w:rsid w:val="000407A4"/>
    <w:rsid w:val="00040DD2"/>
    <w:rsid w:val="00042DCA"/>
    <w:rsid w:val="00042EDE"/>
    <w:rsid w:val="00043E75"/>
    <w:rsid w:val="000473EA"/>
    <w:rsid w:val="00047D9B"/>
    <w:rsid w:val="000511B9"/>
    <w:rsid w:val="00053807"/>
    <w:rsid w:val="000615BB"/>
    <w:rsid w:val="000624BF"/>
    <w:rsid w:val="00065F16"/>
    <w:rsid w:val="00067959"/>
    <w:rsid w:val="0007026D"/>
    <w:rsid w:val="000708CC"/>
    <w:rsid w:val="000711B8"/>
    <w:rsid w:val="000716D1"/>
    <w:rsid w:val="00071B53"/>
    <w:rsid w:val="00072342"/>
    <w:rsid w:val="00072671"/>
    <w:rsid w:val="00074718"/>
    <w:rsid w:val="00074C11"/>
    <w:rsid w:val="00075A84"/>
    <w:rsid w:val="00075C8D"/>
    <w:rsid w:val="00075EA0"/>
    <w:rsid w:val="00077596"/>
    <w:rsid w:val="00077A98"/>
    <w:rsid w:val="00077B0B"/>
    <w:rsid w:val="00083B77"/>
    <w:rsid w:val="0008518E"/>
    <w:rsid w:val="00085A25"/>
    <w:rsid w:val="00086B1B"/>
    <w:rsid w:val="00091F48"/>
    <w:rsid w:val="00093C2B"/>
    <w:rsid w:val="00094710"/>
    <w:rsid w:val="00095EEE"/>
    <w:rsid w:val="0009658E"/>
    <w:rsid w:val="00096593"/>
    <w:rsid w:val="000970C9"/>
    <w:rsid w:val="000A18E1"/>
    <w:rsid w:val="000A1CA9"/>
    <w:rsid w:val="000A28C7"/>
    <w:rsid w:val="000A31F1"/>
    <w:rsid w:val="000A3E98"/>
    <w:rsid w:val="000A41AD"/>
    <w:rsid w:val="000A5437"/>
    <w:rsid w:val="000B2083"/>
    <w:rsid w:val="000B292F"/>
    <w:rsid w:val="000B2E71"/>
    <w:rsid w:val="000B33AD"/>
    <w:rsid w:val="000B4D04"/>
    <w:rsid w:val="000B68F5"/>
    <w:rsid w:val="000B79C9"/>
    <w:rsid w:val="000B7E82"/>
    <w:rsid w:val="000C0CB1"/>
    <w:rsid w:val="000C0D45"/>
    <w:rsid w:val="000C176F"/>
    <w:rsid w:val="000C5C02"/>
    <w:rsid w:val="000C5D0B"/>
    <w:rsid w:val="000C5D33"/>
    <w:rsid w:val="000C61FD"/>
    <w:rsid w:val="000D0977"/>
    <w:rsid w:val="000D0D19"/>
    <w:rsid w:val="000D1156"/>
    <w:rsid w:val="000D2821"/>
    <w:rsid w:val="000D2AC0"/>
    <w:rsid w:val="000D2CCB"/>
    <w:rsid w:val="000D34C9"/>
    <w:rsid w:val="000D7FA6"/>
    <w:rsid w:val="000E0D4D"/>
    <w:rsid w:val="000E346E"/>
    <w:rsid w:val="000E3FB9"/>
    <w:rsid w:val="000E5F1B"/>
    <w:rsid w:val="000E76F6"/>
    <w:rsid w:val="000F05E4"/>
    <w:rsid w:val="000F091A"/>
    <w:rsid w:val="000F1ED2"/>
    <w:rsid w:val="000F2917"/>
    <w:rsid w:val="000F4CB3"/>
    <w:rsid w:val="000F5FBB"/>
    <w:rsid w:val="000F7CB8"/>
    <w:rsid w:val="00106455"/>
    <w:rsid w:val="0010725D"/>
    <w:rsid w:val="0011119C"/>
    <w:rsid w:val="00113C70"/>
    <w:rsid w:val="0011475D"/>
    <w:rsid w:val="00115995"/>
    <w:rsid w:val="00116855"/>
    <w:rsid w:val="001170BD"/>
    <w:rsid w:val="00121368"/>
    <w:rsid w:val="00121590"/>
    <w:rsid w:val="0012325B"/>
    <w:rsid w:val="00123E50"/>
    <w:rsid w:val="001249AD"/>
    <w:rsid w:val="001254B7"/>
    <w:rsid w:val="001254EF"/>
    <w:rsid w:val="001272EA"/>
    <w:rsid w:val="00130FD2"/>
    <w:rsid w:val="0013179C"/>
    <w:rsid w:val="00131A3D"/>
    <w:rsid w:val="0013479C"/>
    <w:rsid w:val="00135E1F"/>
    <w:rsid w:val="00140155"/>
    <w:rsid w:val="00142613"/>
    <w:rsid w:val="001456D2"/>
    <w:rsid w:val="0015046C"/>
    <w:rsid w:val="0015161D"/>
    <w:rsid w:val="00153522"/>
    <w:rsid w:val="001559F9"/>
    <w:rsid w:val="00155E46"/>
    <w:rsid w:val="00157929"/>
    <w:rsid w:val="00162ECA"/>
    <w:rsid w:val="00164DCA"/>
    <w:rsid w:val="00165E77"/>
    <w:rsid w:val="0016617C"/>
    <w:rsid w:val="001700DF"/>
    <w:rsid w:val="001701CF"/>
    <w:rsid w:val="00170293"/>
    <w:rsid w:val="001710B8"/>
    <w:rsid w:val="0017140A"/>
    <w:rsid w:val="00171E84"/>
    <w:rsid w:val="0017264D"/>
    <w:rsid w:val="00172DF7"/>
    <w:rsid w:val="00174428"/>
    <w:rsid w:val="00174A96"/>
    <w:rsid w:val="00176FB1"/>
    <w:rsid w:val="0018007E"/>
    <w:rsid w:val="00180866"/>
    <w:rsid w:val="00181FF6"/>
    <w:rsid w:val="001863B0"/>
    <w:rsid w:val="00186684"/>
    <w:rsid w:val="001871BA"/>
    <w:rsid w:val="00191ABC"/>
    <w:rsid w:val="001929D7"/>
    <w:rsid w:val="001932BE"/>
    <w:rsid w:val="001936E6"/>
    <w:rsid w:val="00193A20"/>
    <w:rsid w:val="00194CFD"/>
    <w:rsid w:val="001956D2"/>
    <w:rsid w:val="00197533"/>
    <w:rsid w:val="001A0493"/>
    <w:rsid w:val="001A0710"/>
    <w:rsid w:val="001A3745"/>
    <w:rsid w:val="001A3AE3"/>
    <w:rsid w:val="001A4C91"/>
    <w:rsid w:val="001A5DCD"/>
    <w:rsid w:val="001A63A9"/>
    <w:rsid w:val="001A72F6"/>
    <w:rsid w:val="001A7BC0"/>
    <w:rsid w:val="001A7C9A"/>
    <w:rsid w:val="001B0E26"/>
    <w:rsid w:val="001B118D"/>
    <w:rsid w:val="001B42F8"/>
    <w:rsid w:val="001B45C6"/>
    <w:rsid w:val="001B4950"/>
    <w:rsid w:val="001B67E5"/>
    <w:rsid w:val="001C00FC"/>
    <w:rsid w:val="001C328D"/>
    <w:rsid w:val="001C32F3"/>
    <w:rsid w:val="001C48B9"/>
    <w:rsid w:val="001C4E5A"/>
    <w:rsid w:val="001C5DEB"/>
    <w:rsid w:val="001C68A9"/>
    <w:rsid w:val="001C770C"/>
    <w:rsid w:val="001D0413"/>
    <w:rsid w:val="001D09E9"/>
    <w:rsid w:val="001D702E"/>
    <w:rsid w:val="001D7576"/>
    <w:rsid w:val="001E02B0"/>
    <w:rsid w:val="001E04BC"/>
    <w:rsid w:val="001E0655"/>
    <w:rsid w:val="001E34FF"/>
    <w:rsid w:val="001E547A"/>
    <w:rsid w:val="001E6E5B"/>
    <w:rsid w:val="001E769B"/>
    <w:rsid w:val="001F00CA"/>
    <w:rsid w:val="001F1109"/>
    <w:rsid w:val="001F2425"/>
    <w:rsid w:val="001F37E8"/>
    <w:rsid w:val="001F510B"/>
    <w:rsid w:val="001F58D6"/>
    <w:rsid w:val="001F5F2C"/>
    <w:rsid w:val="00200366"/>
    <w:rsid w:val="00202AB5"/>
    <w:rsid w:val="002035FA"/>
    <w:rsid w:val="00204DF8"/>
    <w:rsid w:val="0020505C"/>
    <w:rsid w:val="00206C2D"/>
    <w:rsid w:val="00210EBB"/>
    <w:rsid w:val="00211E48"/>
    <w:rsid w:val="00213080"/>
    <w:rsid w:val="00213C8A"/>
    <w:rsid w:val="00214CA6"/>
    <w:rsid w:val="00215529"/>
    <w:rsid w:val="00216076"/>
    <w:rsid w:val="00216228"/>
    <w:rsid w:val="0021798B"/>
    <w:rsid w:val="00223DD6"/>
    <w:rsid w:val="002241BD"/>
    <w:rsid w:val="002249EC"/>
    <w:rsid w:val="00224CB5"/>
    <w:rsid w:val="00225575"/>
    <w:rsid w:val="00225C6E"/>
    <w:rsid w:val="00225D02"/>
    <w:rsid w:val="00231613"/>
    <w:rsid w:val="00233DEB"/>
    <w:rsid w:val="00235C1C"/>
    <w:rsid w:val="00236927"/>
    <w:rsid w:val="00236F84"/>
    <w:rsid w:val="00240E80"/>
    <w:rsid w:val="002411A5"/>
    <w:rsid w:val="002415E9"/>
    <w:rsid w:val="00243A1F"/>
    <w:rsid w:val="00245172"/>
    <w:rsid w:val="002479C4"/>
    <w:rsid w:val="0025116D"/>
    <w:rsid w:val="002511F9"/>
    <w:rsid w:val="0025174E"/>
    <w:rsid w:val="002517FD"/>
    <w:rsid w:val="00252740"/>
    <w:rsid w:val="00252803"/>
    <w:rsid w:val="002531E4"/>
    <w:rsid w:val="0025448C"/>
    <w:rsid w:val="00254C34"/>
    <w:rsid w:val="00254F75"/>
    <w:rsid w:val="00257DE6"/>
    <w:rsid w:val="002629C5"/>
    <w:rsid w:val="00263313"/>
    <w:rsid w:val="0026412E"/>
    <w:rsid w:val="00266376"/>
    <w:rsid w:val="00266934"/>
    <w:rsid w:val="00270736"/>
    <w:rsid w:val="00270751"/>
    <w:rsid w:val="0027517B"/>
    <w:rsid w:val="002761F7"/>
    <w:rsid w:val="002764E1"/>
    <w:rsid w:val="00277C8B"/>
    <w:rsid w:val="00280F54"/>
    <w:rsid w:val="002848FC"/>
    <w:rsid w:val="00290976"/>
    <w:rsid w:val="002914AC"/>
    <w:rsid w:val="0029184E"/>
    <w:rsid w:val="00291C22"/>
    <w:rsid w:val="0029512A"/>
    <w:rsid w:val="00296873"/>
    <w:rsid w:val="00296C4E"/>
    <w:rsid w:val="00297030"/>
    <w:rsid w:val="002A006E"/>
    <w:rsid w:val="002A46FA"/>
    <w:rsid w:val="002A5FBB"/>
    <w:rsid w:val="002A67C6"/>
    <w:rsid w:val="002A78AD"/>
    <w:rsid w:val="002B1FD1"/>
    <w:rsid w:val="002B2718"/>
    <w:rsid w:val="002B61EB"/>
    <w:rsid w:val="002C093F"/>
    <w:rsid w:val="002C0C78"/>
    <w:rsid w:val="002C246E"/>
    <w:rsid w:val="002C2F95"/>
    <w:rsid w:val="002C3345"/>
    <w:rsid w:val="002C3DAC"/>
    <w:rsid w:val="002C40D0"/>
    <w:rsid w:val="002C4503"/>
    <w:rsid w:val="002C5ADF"/>
    <w:rsid w:val="002C72D8"/>
    <w:rsid w:val="002C7DBD"/>
    <w:rsid w:val="002D0018"/>
    <w:rsid w:val="002D2DD3"/>
    <w:rsid w:val="002D3F4A"/>
    <w:rsid w:val="002D4BA1"/>
    <w:rsid w:val="002D5BDB"/>
    <w:rsid w:val="002E2C56"/>
    <w:rsid w:val="002E366F"/>
    <w:rsid w:val="002E49F5"/>
    <w:rsid w:val="002E55B0"/>
    <w:rsid w:val="002E55DD"/>
    <w:rsid w:val="002E59A0"/>
    <w:rsid w:val="002F3E35"/>
    <w:rsid w:val="002F41AD"/>
    <w:rsid w:val="002F4F16"/>
    <w:rsid w:val="002F5997"/>
    <w:rsid w:val="002F63A6"/>
    <w:rsid w:val="002F70C8"/>
    <w:rsid w:val="002F7F46"/>
    <w:rsid w:val="00300F5E"/>
    <w:rsid w:val="00301CF3"/>
    <w:rsid w:val="00304212"/>
    <w:rsid w:val="00306542"/>
    <w:rsid w:val="0030706A"/>
    <w:rsid w:val="00312E42"/>
    <w:rsid w:val="00314B40"/>
    <w:rsid w:val="00314F4E"/>
    <w:rsid w:val="0031741F"/>
    <w:rsid w:val="00317635"/>
    <w:rsid w:val="00323099"/>
    <w:rsid w:val="0032447A"/>
    <w:rsid w:val="00324721"/>
    <w:rsid w:val="00325C6C"/>
    <w:rsid w:val="003261BC"/>
    <w:rsid w:val="00327472"/>
    <w:rsid w:val="00327B1D"/>
    <w:rsid w:val="00331ABE"/>
    <w:rsid w:val="00332016"/>
    <w:rsid w:val="003369B2"/>
    <w:rsid w:val="00340C87"/>
    <w:rsid w:val="00341299"/>
    <w:rsid w:val="00345389"/>
    <w:rsid w:val="003454F7"/>
    <w:rsid w:val="00347E9E"/>
    <w:rsid w:val="003504F2"/>
    <w:rsid w:val="00350F15"/>
    <w:rsid w:val="0035127D"/>
    <w:rsid w:val="00351563"/>
    <w:rsid w:val="003521A7"/>
    <w:rsid w:val="00352206"/>
    <w:rsid w:val="00353F28"/>
    <w:rsid w:val="00360706"/>
    <w:rsid w:val="003763A7"/>
    <w:rsid w:val="003763FA"/>
    <w:rsid w:val="00376C40"/>
    <w:rsid w:val="00376C72"/>
    <w:rsid w:val="00377C72"/>
    <w:rsid w:val="00384980"/>
    <w:rsid w:val="0039118B"/>
    <w:rsid w:val="003932F3"/>
    <w:rsid w:val="00393A6C"/>
    <w:rsid w:val="00393FCE"/>
    <w:rsid w:val="00395667"/>
    <w:rsid w:val="00395B3A"/>
    <w:rsid w:val="003A0C39"/>
    <w:rsid w:val="003A1A39"/>
    <w:rsid w:val="003A2A94"/>
    <w:rsid w:val="003A60E3"/>
    <w:rsid w:val="003A6E23"/>
    <w:rsid w:val="003A7121"/>
    <w:rsid w:val="003A7145"/>
    <w:rsid w:val="003A7DD3"/>
    <w:rsid w:val="003B022E"/>
    <w:rsid w:val="003B0458"/>
    <w:rsid w:val="003B13BB"/>
    <w:rsid w:val="003B46DB"/>
    <w:rsid w:val="003B5220"/>
    <w:rsid w:val="003B59FD"/>
    <w:rsid w:val="003C1355"/>
    <w:rsid w:val="003C32D3"/>
    <w:rsid w:val="003C33CD"/>
    <w:rsid w:val="003C5055"/>
    <w:rsid w:val="003C61B2"/>
    <w:rsid w:val="003C6A75"/>
    <w:rsid w:val="003C723C"/>
    <w:rsid w:val="003D0027"/>
    <w:rsid w:val="003D3C30"/>
    <w:rsid w:val="003D622E"/>
    <w:rsid w:val="003D6C8C"/>
    <w:rsid w:val="003E2489"/>
    <w:rsid w:val="003E46DD"/>
    <w:rsid w:val="003E49B7"/>
    <w:rsid w:val="003E6EF4"/>
    <w:rsid w:val="003E75FD"/>
    <w:rsid w:val="003E7FD0"/>
    <w:rsid w:val="003F115F"/>
    <w:rsid w:val="003F37F7"/>
    <w:rsid w:val="003F4EC0"/>
    <w:rsid w:val="003F7111"/>
    <w:rsid w:val="003F7B65"/>
    <w:rsid w:val="00401F87"/>
    <w:rsid w:val="00402DCC"/>
    <w:rsid w:val="0040323D"/>
    <w:rsid w:val="004056D2"/>
    <w:rsid w:val="0040642C"/>
    <w:rsid w:val="0040706B"/>
    <w:rsid w:val="0040796A"/>
    <w:rsid w:val="00407DCE"/>
    <w:rsid w:val="00414152"/>
    <w:rsid w:val="00414A2C"/>
    <w:rsid w:val="00414FF2"/>
    <w:rsid w:val="00415091"/>
    <w:rsid w:val="00416956"/>
    <w:rsid w:val="00417556"/>
    <w:rsid w:val="00420216"/>
    <w:rsid w:val="0042167D"/>
    <w:rsid w:val="004227E8"/>
    <w:rsid w:val="0042393C"/>
    <w:rsid w:val="004278ED"/>
    <w:rsid w:val="0042798D"/>
    <w:rsid w:val="00430E7A"/>
    <w:rsid w:val="00431411"/>
    <w:rsid w:val="00431A99"/>
    <w:rsid w:val="00433355"/>
    <w:rsid w:val="0043443B"/>
    <w:rsid w:val="00434B9C"/>
    <w:rsid w:val="00435D28"/>
    <w:rsid w:val="004406AE"/>
    <w:rsid w:val="00440E21"/>
    <w:rsid w:val="004436F5"/>
    <w:rsid w:val="004441E5"/>
    <w:rsid w:val="00444248"/>
    <w:rsid w:val="00444A97"/>
    <w:rsid w:val="00446D6A"/>
    <w:rsid w:val="004547F1"/>
    <w:rsid w:val="0045499E"/>
    <w:rsid w:val="00457287"/>
    <w:rsid w:val="00457B00"/>
    <w:rsid w:val="00457D57"/>
    <w:rsid w:val="00460611"/>
    <w:rsid w:val="0046743A"/>
    <w:rsid w:val="00467AD6"/>
    <w:rsid w:val="00470933"/>
    <w:rsid w:val="00470A4B"/>
    <w:rsid w:val="00474E3E"/>
    <w:rsid w:val="00476BEC"/>
    <w:rsid w:val="00476F7D"/>
    <w:rsid w:val="0048113A"/>
    <w:rsid w:val="00481C32"/>
    <w:rsid w:val="0048353F"/>
    <w:rsid w:val="00493CD7"/>
    <w:rsid w:val="00497787"/>
    <w:rsid w:val="004A41C6"/>
    <w:rsid w:val="004B1ACA"/>
    <w:rsid w:val="004B1FA8"/>
    <w:rsid w:val="004B28E4"/>
    <w:rsid w:val="004B34E5"/>
    <w:rsid w:val="004C0462"/>
    <w:rsid w:val="004C162A"/>
    <w:rsid w:val="004C1726"/>
    <w:rsid w:val="004C2EBF"/>
    <w:rsid w:val="004C5B9C"/>
    <w:rsid w:val="004D0846"/>
    <w:rsid w:val="004D0D76"/>
    <w:rsid w:val="004D186D"/>
    <w:rsid w:val="004D28BD"/>
    <w:rsid w:val="004D32E1"/>
    <w:rsid w:val="004D331B"/>
    <w:rsid w:val="004D344F"/>
    <w:rsid w:val="004D3E72"/>
    <w:rsid w:val="004D585F"/>
    <w:rsid w:val="004D6633"/>
    <w:rsid w:val="004E0123"/>
    <w:rsid w:val="004E218B"/>
    <w:rsid w:val="004E2C8E"/>
    <w:rsid w:val="004E3955"/>
    <w:rsid w:val="004E6C18"/>
    <w:rsid w:val="004E72C6"/>
    <w:rsid w:val="004F06C5"/>
    <w:rsid w:val="004F2DFF"/>
    <w:rsid w:val="004F375C"/>
    <w:rsid w:val="004F747F"/>
    <w:rsid w:val="005024BB"/>
    <w:rsid w:val="00504243"/>
    <w:rsid w:val="00510C04"/>
    <w:rsid w:val="00512E5F"/>
    <w:rsid w:val="00513537"/>
    <w:rsid w:val="0051450A"/>
    <w:rsid w:val="00517692"/>
    <w:rsid w:val="00522FD3"/>
    <w:rsid w:val="00523E6A"/>
    <w:rsid w:val="0052437A"/>
    <w:rsid w:val="00527C00"/>
    <w:rsid w:val="005306D6"/>
    <w:rsid w:val="0053392B"/>
    <w:rsid w:val="00533C72"/>
    <w:rsid w:val="00534900"/>
    <w:rsid w:val="00537314"/>
    <w:rsid w:val="00537AAE"/>
    <w:rsid w:val="005400AC"/>
    <w:rsid w:val="0054210B"/>
    <w:rsid w:val="005435E9"/>
    <w:rsid w:val="005440F0"/>
    <w:rsid w:val="00544DE0"/>
    <w:rsid w:val="00546236"/>
    <w:rsid w:val="0054706F"/>
    <w:rsid w:val="005510E9"/>
    <w:rsid w:val="00551CE0"/>
    <w:rsid w:val="00552BFA"/>
    <w:rsid w:val="00552F6B"/>
    <w:rsid w:val="00556018"/>
    <w:rsid w:val="0055731F"/>
    <w:rsid w:val="00557337"/>
    <w:rsid w:val="0055782D"/>
    <w:rsid w:val="00557C49"/>
    <w:rsid w:val="005604E6"/>
    <w:rsid w:val="005605F7"/>
    <w:rsid w:val="00560736"/>
    <w:rsid w:val="00563437"/>
    <w:rsid w:val="00565C0F"/>
    <w:rsid w:val="00566300"/>
    <w:rsid w:val="005665BF"/>
    <w:rsid w:val="005667A5"/>
    <w:rsid w:val="005670E0"/>
    <w:rsid w:val="00570681"/>
    <w:rsid w:val="00570CAA"/>
    <w:rsid w:val="00571A2C"/>
    <w:rsid w:val="00572261"/>
    <w:rsid w:val="0057277D"/>
    <w:rsid w:val="00573EDC"/>
    <w:rsid w:val="00574618"/>
    <w:rsid w:val="005762C4"/>
    <w:rsid w:val="0057758B"/>
    <w:rsid w:val="00577879"/>
    <w:rsid w:val="00580233"/>
    <w:rsid w:val="005805CD"/>
    <w:rsid w:val="00580DD7"/>
    <w:rsid w:val="0058123D"/>
    <w:rsid w:val="00581ED3"/>
    <w:rsid w:val="005825EA"/>
    <w:rsid w:val="00582B98"/>
    <w:rsid w:val="00583E11"/>
    <w:rsid w:val="005841A9"/>
    <w:rsid w:val="005925FC"/>
    <w:rsid w:val="00593B4B"/>
    <w:rsid w:val="00594D7F"/>
    <w:rsid w:val="00594F74"/>
    <w:rsid w:val="0059730F"/>
    <w:rsid w:val="00597679"/>
    <w:rsid w:val="005A0400"/>
    <w:rsid w:val="005A0BF2"/>
    <w:rsid w:val="005A0C5A"/>
    <w:rsid w:val="005A121F"/>
    <w:rsid w:val="005A14D2"/>
    <w:rsid w:val="005A3491"/>
    <w:rsid w:val="005A5090"/>
    <w:rsid w:val="005B0367"/>
    <w:rsid w:val="005B266D"/>
    <w:rsid w:val="005B320D"/>
    <w:rsid w:val="005B69A7"/>
    <w:rsid w:val="005C30C2"/>
    <w:rsid w:val="005C3FD7"/>
    <w:rsid w:val="005C4799"/>
    <w:rsid w:val="005D2FE6"/>
    <w:rsid w:val="005D3C5F"/>
    <w:rsid w:val="005D469D"/>
    <w:rsid w:val="005D47D1"/>
    <w:rsid w:val="005D5568"/>
    <w:rsid w:val="005E092B"/>
    <w:rsid w:val="005E4607"/>
    <w:rsid w:val="005E5462"/>
    <w:rsid w:val="005E5ECE"/>
    <w:rsid w:val="005E6C87"/>
    <w:rsid w:val="005F0433"/>
    <w:rsid w:val="005F092E"/>
    <w:rsid w:val="005F0D47"/>
    <w:rsid w:val="005F3263"/>
    <w:rsid w:val="005F4668"/>
    <w:rsid w:val="005F4B20"/>
    <w:rsid w:val="005F5715"/>
    <w:rsid w:val="005F60B7"/>
    <w:rsid w:val="005F695D"/>
    <w:rsid w:val="00600887"/>
    <w:rsid w:val="00600C1B"/>
    <w:rsid w:val="00602300"/>
    <w:rsid w:val="00602454"/>
    <w:rsid w:val="006034FD"/>
    <w:rsid w:val="00603B72"/>
    <w:rsid w:val="00604FC8"/>
    <w:rsid w:val="00610CA6"/>
    <w:rsid w:val="0061256C"/>
    <w:rsid w:val="0061284C"/>
    <w:rsid w:val="006134E7"/>
    <w:rsid w:val="006140DC"/>
    <w:rsid w:val="00616BE2"/>
    <w:rsid w:val="00617246"/>
    <w:rsid w:val="0061758F"/>
    <w:rsid w:val="00622239"/>
    <w:rsid w:val="00622E87"/>
    <w:rsid w:val="0062394D"/>
    <w:rsid w:val="00625837"/>
    <w:rsid w:val="00626D06"/>
    <w:rsid w:val="00630396"/>
    <w:rsid w:val="006312D5"/>
    <w:rsid w:val="006319C6"/>
    <w:rsid w:val="00631B77"/>
    <w:rsid w:val="006348D0"/>
    <w:rsid w:val="006358F2"/>
    <w:rsid w:val="00640A32"/>
    <w:rsid w:val="00640C96"/>
    <w:rsid w:val="00641A08"/>
    <w:rsid w:val="00642B29"/>
    <w:rsid w:val="006477F4"/>
    <w:rsid w:val="00650379"/>
    <w:rsid w:val="0065310B"/>
    <w:rsid w:val="0065462D"/>
    <w:rsid w:val="00654BA7"/>
    <w:rsid w:val="00654D59"/>
    <w:rsid w:val="00656846"/>
    <w:rsid w:val="006613E2"/>
    <w:rsid w:val="00662A69"/>
    <w:rsid w:val="00663156"/>
    <w:rsid w:val="00663B36"/>
    <w:rsid w:val="00664120"/>
    <w:rsid w:val="00664450"/>
    <w:rsid w:val="00664EED"/>
    <w:rsid w:val="006653ED"/>
    <w:rsid w:val="006663F4"/>
    <w:rsid w:val="0066661F"/>
    <w:rsid w:val="00670837"/>
    <w:rsid w:val="006710EC"/>
    <w:rsid w:val="00671C6B"/>
    <w:rsid w:val="006727D0"/>
    <w:rsid w:val="006753DA"/>
    <w:rsid w:val="0067695A"/>
    <w:rsid w:val="00676C36"/>
    <w:rsid w:val="006813D5"/>
    <w:rsid w:val="00683050"/>
    <w:rsid w:val="00683957"/>
    <w:rsid w:val="0068554C"/>
    <w:rsid w:val="0068698A"/>
    <w:rsid w:val="00690AF9"/>
    <w:rsid w:val="006917EF"/>
    <w:rsid w:val="00692A15"/>
    <w:rsid w:val="00697B67"/>
    <w:rsid w:val="006A021A"/>
    <w:rsid w:val="006A04B2"/>
    <w:rsid w:val="006A23A3"/>
    <w:rsid w:val="006A32B6"/>
    <w:rsid w:val="006A4CA3"/>
    <w:rsid w:val="006A6B02"/>
    <w:rsid w:val="006A7451"/>
    <w:rsid w:val="006B0DE1"/>
    <w:rsid w:val="006C0E1C"/>
    <w:rsid w:val="006C281C"/>
    <w:rsid w:val="006C37F3"/>
    <w:rsid w:val="006D032E"/>
    <w:rsid w:val="006D03A8"/>
    <w:rsid w:val="006D0DB2"/>
    <w:rsid w:val="006D1E7C"/>
    <w:rsid w:val="006E051A"/>
    <w:rsid w:val="006E277A"/>
    <w:rsid w:val="006E33D7"/>
    <w:rsid w:val="006E39EA"/>
    <w:rsid w:val="006E4735"/>
    <w:rsid w:val="006E5D89"/>
    <w:rsid w:val="006E6901"/>
    <w:rsid w:val="006E6A7B"/>
    <w:rsid w:val="006E7C60"/>
    <w:rsid w:val="006F1870"/>
    <w:rsid w:val="006F4491"/>
    <w:rsid w:val="006F4EAD"/>
    <w:rsid w:val="00701B09"/>
    <w:rsid w:val="00701DA0"/>
    <w:rsid w:val="007029EA"/>
    <w:rsid w:val="00702A02"/>
    <w:rsid w:val="007030F0"/>
    <w:rsid w:val="00703B8C"/>
    <w:rsid w:val="00704782"/>
    <w:rsid w:val="00707D21"/>
    <w:rsid w:val="007119CA"/>
    <w:rsid w:val="007125E3"/>
    <w:rsid w:val="007153C1"/>
    <w:rsid w:val="007159B5"/>
    <w:rsid w:val="0071746B"/>
    <w:rsid w:val="00720374"/>
    <w:rsid w:val="00720A5D"/>
    <w:rsid w:val="00720C08"/>
    <w:rsid w:val="00722AD5"/>
    <w:rsid w:val="007235AE"/>
    <w:rsid w:val="00723983"/>
    <w:rsid w:val="00723EC9"/>
    <w:rsid w:val="00724DDE"/>
    <w:rsid w:val="00726C78"/>
    <w:rsid w:val="00727573"/>
    <w:rsid w:val="00727838"/>
    <w:rsid w:val="0073549F"/>
    <w:rsid w:val="007403C7"/>
    <w:rsid w:val="00741030"/>
    <w:rsid w:val="0074265C"/>
    <w:rsid w:val="00743080"/>
    <w:rsid w:val="00743FA2"/>
    <w:rsid w:val="00744043"/>
    <w:rsid w:val="00745A01"/>
    <w:rsid w:val="007477B4"/>
    <w:rsid w:val="007512FD"/>
    <w:rsid w:val="00754180"/>
    <w:rsid w:val="007546FA"/>
    <w:rsid w:val="007558EB"/>
    <w:rsid w:val="00755BA4"/>
    <w:rsid w:val="007607E3"/>
    <w:rsid w:val="007642BA"/>
    <w:rsid w:val="007646F3"/>
    <w:rsid w:val="00765243"/>
    <w:rsid w:val="00765529"/>
    <w:rsid w:val="007713CF"/>
    <w:rsid w:val="007722C6"/>
    <w:rsid w:val="0077279E"/>
    <w:rsid w:val="00773725"/>
    <w:rsid w:val="00775322"/>
    <w:rsid w:val="00780572"/>
    <w:rsid w:val="007817CA"/>
    <w:rsid w:val="00781D04"/>
    <w:rsid w:val="007829BC"/>
    <w:rsid w:val="00782ED8"/>
    <w:rsid w:val="00783E2E"/>
    <w:rsid w:val="007856AD"/>
    <w:rsid w:val="00785B76"/>
    <w:rsid w:val="007867BD"/>
    <w:rsid w:val="00786F81"/>
    <w:rsid w:val="007943DE"/>
    <w:rsid w:val="007948C0"/>
    <w:rsid w:val="00795649"/>
    <w:rsid w:val="00797004"/>
    <w:rsid w:val="00797758"/>
    <w:rsid w:val="00797A63"/>
    <w:rsid w:val="007A0E7B"/>
    <w:rsid w:val="007A1834"/>
    <w:rsid w:val="007A1A73"/>
    <w:rsid w:val="007A2B51"/>
    <w:rsid w:val="007A33F3"/>
    <w:rsid w:val="007A3823"/>
    <w:rsid w:val="007A5CAD"/>
    <w:rsid w:val="007A7722"/>
    <w:rsid w:val="007B0BA9"/>
    <w:rsid w:val="007B1CD0"/>
    <w:rsid w:val="007B3329"/>
    <w:rsid w:val="007B36F5"/>
    <w:rsid w:val="007B53B5"/>
    <w:rsid w:val="007B6AAD"/>
    <w:rsid w:val="007B6CA3"/>
    <w:rsid w:val="007B778F"/>
    <w:rsid w:val="007C2987"/>
    <w:rsid w:val="007C2F63"/>
    <w:rsid w:val="007C3661"/>
    <w:rsid w:val="007C53E7"/>
    <w:rsid w:val="007D086E"/>
    <w:rsid w:val="007D0C97"/>
    <w:rsid w:val="007D0F86"/>
    <w:rsid w:val="007D15DB"/>
    <w:rsid w:val="007D2AF8"/>
    <w:rsid w:val="007D35AE"/>
    <w:rsid w:val="007D4B7F"/>
    <w:rsid w:val="007D51CA"/>
    <w:rsid w:val="007D6D0B"/>
    <w:rsid w:val="007D76B6"/>
    <w:rsid w:val="007E151B"/>
    <w:rsid w:val="007E311C"/>
    <w:rsid w:val="007E346A"/>
    <w:rsid w:val="007E3BD0"/>
    <w:rsid w:val="007E464A"/>
    <w:rsid w:val="007E5D5C"/>
    <w:rsid w:val="007E7990"/>
    <w:rsid w:val="007E7CD4"/>
    <w:rsid w:val="007F27F4"/>
    <w:rsid w:val="007F37A6"/>
    <w:rsid w:val="007F4C1A"/>
    <w:rsid w:val="007F640F"/>
    <w:rsid w:val="007F6864"/>
    <w:rsid w:val="007F6B12"/>
    <w:rsid w:val="007F7F4C"/>
    <w:rsid w:val="00800D85"/>
    <w:rsid w:val="00800ED0"/>
    <w:rsid w:val="00801B5A"/>
    <w:rsid w:val="00801DA3"/>
    <w:rsid w:val="0080234C"/>
    <w:rsid w:val="00805457"/>
    <w:rsid w:val="00805603"/>
    <w:rsid w:val="00806236"/>
    <w:rsid w:val="00806B0C"/>
    <w:rsid w:val="00806FE2"/>
    <w:rsid w:val="00810C5E"/>
    <w:rsid w:val="008113F8"/>
    <w:rsid w:val="00811F3E"/>
    <w:rsid w:val="008136B0"/>
    <w:rsid w:val="00816225"/>
    <w:rsid w:val="00816A36"/>
    <w:rsid w:val="0081791C"/>
    <w:rsid w:val="00817A9E"/>
    <w:rsid w:val="00820634"/>
    <w:rsid w:val="00821202"/>
    <w:rsid w:val="00821394"/>
    <w:rsid w:val="00821E0E"/>
    <w:rsid w:val="008220B0"/>
    <w:rsid w:val="00822E4D"/>
    <w:rsid w:val="008307D1"/>
    <w:rsid w:val="00831A4B"/>
    <w:rsid w:val="00831F48"/>
    <w:rsid w:val="00832614"/>
    <w:rsid w:val="0083267D"/>
    <w:rsid w:val="0083392F"/>
    <w:rsid w:val="0083649C"/>
    <w:rsid w:val="00836760"/>
    <w:rsid w:val="008376FB"/>
    <w:rsid w:val="008450C5"/>
    <w:rsid w:val="0084758F"/>
    <w:rsid w:val="00847BA2"/>
    <w:rsid w:val="00847D4F"/>
    <w:rsid w:val="008528CF"/>
    <w:rsid w:val="008530D0"/>
    <w:rsid w:val="00855734"/>
    <w:rsid w:val="0085643E"/>
    <w:rsid w:val="008568A3"/>
    <w:rsid w:val="0086062F"/>
    <w:rsid w:val="008620C6"/>
    <w:rsid w:val="00867E68"/>
    <w:rsid w:val="008700A5"/>
    <w:rsid w:val="00872B5B"/>
    <w:rsid w:val="00875A94"/>
    <w:rsid w:val="0087653D"/>
    <w:rsid w:val="00877B08"/>
    <w:rsid w:val="00877F90"/>
    <w:rsid w:val="00881188"/>
    <w:rsid w:val="0088141E"/>
    <w:rsid w:val="008823FF"/>
    <w:rsid w:val="008829F1"/>
    <w:rsid w:val="00885074"/>
    <w:rsid w:val="00885E15"/>
    <w:rsid w:val="0088620F"/>
    <w:rsid w:val="008878C5"/>
    <w:rsid w:val="008878F9"/>
    <w:rsid w:val="00893768"/>
    <w:rsid w:val="008943A4"/>
    <w:rsid w:val="00894445"/>
    <w:rsid w:val="00895429"/>
    <w:rsid w:val="008969C0"/>
    <w:rsid w:val="008969F0"/>
    <w:rsid w:val="00896BFB"/>
    <w:rsid w:val="0089796E"/>
    <w:rsid w:val="008A0218"/>
    <w:rsid w:val="008A1357"/>
    <w:rsid w:val="008A4E4F"/>
    <w:rsid w:val="008A622B"/>
    <w:rsid w:val="008A6797"/>
    <w:rsid w:val="008A7341"/>
    <w:rsid w:val="008A78B4"/>
    <w:rsid w:val="008A7912"/>
    <w:rsid w:val="008A7B28"/>
    <w:rsid w:val="008B024F"/>
    <w:rsid w:val="008B0968"/>
    <w:rsid w:val="008B0C54"/>
    <w:rsid w:val="008B3888"/>
    <w:rsid w:val="008B4977"/>
    <w:rsid w:val="008C10F2"/>
    <w:rsid w:val="008C1366"/>
    <w:rsid w:val="008D0DCE"/>
    <w:rsid w:val="008D3935"/>
    <w:rsid w:val="008D6FA1"/>
    <w:rsid w:val="008D7BE6"/>
    <w:rsid w:val="008E045D"/>
    <w:rsid w:val="008E0BB4"/>
    <w:rsid w:val="008E1A66"/>
    <w:rsid w:val="008E3E3D"/>
    <w:rsid w:val="008E5A63"/>
    <w:rsid w:val="008E7223"/>
    <w:rsid w:val="0090595B"/>
    <w:rsid w:val="00906ADF"/>
    <w:rsid w:val="00910F96"/>
    <w:rsid w:val="009114C6"/>
    <w:rsid w:val="0091341D"/>
    <w:rsid w:val="00913B77"/>
    <w:rsid w:val="009153E0"/>
    <w:rsid w:val="009162AD"/>
    <w:rsid w:val="009162B4"/>
    <w:rsid w:val="00917D49"/>
    <w:rsid w:val="0092049A"/>
    <w:rsid w:val="00920E19"/>
    <w:rsid w:val="00921EA9"/>
    <w:rsid w:val="00923748"/>
    <w:rsid w:val="0092463F"/>
    <w:rsid w:val="0092684E"/>
    <w:rsid w:val="00927E2A"/>
    <w:rsid w:val="00930002"/>
    <w:rsid w:val="00931FAB"/>
    <w:rsid w:val="0093346D"/>
    <w:rsid w:val="00935B47"/>
    <w:rsid w:val="00940243"/>
    <w:rsid w:val="009403C9"/>
    <w:rsid w:val="00943B85"/>
    <w:rsid w:val="00943C63"/>
    <w:rsid w:val="0094659F"/>
    <w:rsid w:val="00947302"/>
    <w:rsid w:val="00950393"/>
    <w:rsid w:val="00951301"/>
    <w:rsid w:val="00953DB7"/>
    <w:rsid w:val="009543D6"/>
    <w:rsid w:val="00954EC1"/>
    <w:rsid w:val="0095645F"/>
    <w:rsid w:val="00956885"/>
    <w:rsid w:val="00957603"/>
    <w:rsid w:val="00957775"/>
    <w:rsid w:val="0096065C"/>
    <w:rsid w:val="00960B3C"/>
    <w:rsid w:val="009720C2"/>
    <w:rsid w:val="009748E3"/>
    <w:rsid w:val="009757B9"/>
    <w:rsid w:val="00976E73"/>
    <w:rsid w:val="0098306F"/>
    <w:rsid w:val="009833D7"/>
    <w:rsid w:val="00983BB3"/>
    <w:rsid w:val="00985295"/>
    <w:rsid w:val="00986AD1"/>
    <w:rsid w:val="009875ED"/>
    <w:rsid w:val="00987628"/>
    <w:rsid w:val="00990B1C"/>
    <w:rsid w:val="00991C7E"/>
    <w:rsid w:val="00992CC7"/>
    <w:rsid w:val="00992F7E"/>
    <w:rsid w:val="00994B69"/>
    <w:rsid w:val="0099546A"/>
    <w:rsid w:val="009A0879"/>
    <w:rsid w:val="009A593C"/>
    <w:rsid w:val="009A6D15"/>
    <w:rsid w:val="009A6EDB"/>
    <w:rsid w:val="009A76BA"/>
    <w:rsid w:val="009B71FC"/>
    <w:rsid w:val="009C281A"/>
    <w:rsid w:val="009C2C50"/>
    <w:rsid w:val="009C752B"/>
    <w:rsid w:val="009C7AF1"/>
    <w:rsid w:val="009D188A"/>
    <w:rsid w:val="009D1A6A"/>
    <w:rsid w:val="009D2AE7"/>
    <w:rsid w:val="009D2DDE"/>
    <w:rsid w:val="009E1CE6"/>
    <w:rsid w:val="009E2612"/>
    <w:rsid w:val="009E32BB"/>
    <w:rsid w:val="009E3847"/>
    <w:rsid w:val="009E41BC"/>
    <w:rsid w:val="009E5DA8"/>
    <w:rsid w:val="009F0B99"/>
    <w:rsid w:val="009F186A"/>
    <w:rsid w:val="009F2246"/>
    <w:rsid w:val="009F284F"/>
    <w:rsid w:val="009F4142"/>
    <w:rsid w:val="009F4609"/>
    <w:rsid w:val="009F4742"/>
    <w:rsid w:val="009F4989"/>
    <w:rsid w:val="009F7D59"/>
    <w:rsid w:val="009F7E15"/>
    <w:rsid w:val="009F7E72"/>
    <w:rsid w:val="00A00A85"/>
    <w:rsid w:val="00A014E3"/>
    <w:rsid w:val="00A0194D"/>
    <w:rsid w:val="00A02F17"/>
    <w:rsid w:val="00A05564"/>
    <w:rsid w:val="00A0588E"/>
    <w:rsid w:val="00A10E5F"/>
    <w:rsid w:val="00A13DF5"/>
    <w:rsid w:val="00A154D8"/>
    <w:rsid w:val="00A15D50"/>
    <w:rsid w:val="00A21551"/>
    <w:rsid w:val="00A22461"/>
    <w:rsid w:val="00A26D4E"/>
    <w:rsid w:val="00A30CEC"/>
    <w:rsid w:val="00A33568"/>
    <w:rsid w:val="00A33FA7"/>
    <w:rsid w:val="00A37BBC"/>
    <w:rsid w:val="00A4078A"/>
    <w:rsid w:val="00A43273"/>
    <w:rsid w:val="00A4338C"/>
    <w:rsid w:val="00A436FC"/>
    <w:rsid w:val="00A43B47"/>
    <w:rsid w:val="00A43C67"/>
    <w:rsid w:val="00A45855"/>
    <w:rsid w:val="00A45F6E"/>
    <w:rsid w:val="00A46028"/>
    <w:rsid w:val="00A47ADA"/>
    <w:rsid w:val="00A50EC3"/>
    <w:rsid w:val="00A53714"/>
    <w:rsid w:val="00A54BB4"/>
    <w:rsid w:val="00A56038"/>
    <w:rsid w:val="00A64A3B"/>
    <w:rsid w:val="00A70B9A"/>
    <w:rsid w:val="00A72055"/>
    <w:rsid w:val="00A732B4"/>
    <w:rsid w:val="00A73C32"/>
    <w:rsid w:val="00A7459F"/>
    <w:rsid w:val="00A77589"/>
    <w:rsid w:val="00A775F7"/>
    <w:rsid w:val="00A779CB"/>
    <w:rsid w:val="00A82E78"/>
    <w:rsid w:val="00A8324C"/>
    <w:rsid w:val="00A837C4"/>
    <w:rsid w:val="00A85CFE"/>
    <w:rsid w:val="00A867D8"/>
    <w:rsid w:val="00A9319E"/>
    <w:rsid w:val="00A94042"/>
    <w:rsid w:val="00A946A4"/>
    <w:rsid w:val="00A94823"/>
    <w:rsid w:val="00A973D8"/>
    <w:rsid w:val="00AA0AF0"/>
    <w:rsid w:val="00AA1CFB"/>
    <w:rsid w:val="00AA45FB"/>
    <w:rsid w:val="00AA6D03"/>
    <w:rsid w:val="00AA75DA"/>
    <w:rsid w:val="00AB1687"/>
    <w:rsid w:val="00AB40FD"/>
    <w:rsid w:val="00AB4124"/>
    <w:rsid w:val="00AB4509"/>
    <w:rsid w:val="00AB671E"/>
    <w:rsid w:val="00AB782E"/>
    <w:rsid w:val="00AB7F84"/>
    <w:rsid w:val="00AC0A97"/>
    <w:rsid w:val="00AC3E00"/>
    <w:rsid w:val="00AC3FB9"/>
    <w:rsid w:val="00AC4FC0"/>
    <w:rsid w:val="00AC58F1"/>
    <w:rsid w:val="00AD0217"/>
    <w:rsid w:val="00AD190B"/>
    <w:rsid w:val="00AD31EB"/>
    <w:rsid w:val="00AD5591"/>
    <w:rsid w:val="00AD5B8E"/>
    <w:rsid w:val="00AD76AE"/>
    <w:rsid w:val="00AE1AA5"/>
    <w:rsid w:val="00AE26A3"/>
    <w:rsid w:val="00AE388B"/>
    <w:rsid w:val="00AE5151"/>
    <w:rsid w:val="00AE6220"/>
    <w:rsid w:val="00AE6ADC"/>
    <w:rsid w:val="00AF07B8"/>
    <w:rsid w:val="00AF1BD6"/>
    <w:rsid w:val="00AF1F4A"/>
    <w:rsid w:val="00AF2F0D"/>
    <w:rsid w:val="00AF425C"/>
    <w:rsid w:val="00AF4AFF"/>
    <w:rsid w:val="00AF4E72"/>
    <w:rsid w:val="00AF51E9"/>
    <w:rsid w:val="00AF723D"/>
    <w:rsid w:val="00B01ACC"/>
    <w:rsid w:val="00B01E77"/>
    <w:rsid w:val="00B07107"/>
    <w:rsid w:val="00B078E5"/>
    <w:rsid w:val="00B127C4"/>
    <w:rsid w:val="00B13843"/>
    <w:rsid w:val="00B146FC"/>
    <w:rsid w:val="00B15EFB"/>
    <w:rsid w:val="00B17CD7"/>
    <w:rsid w:val="00B20F8C"/>
    <w:rsid w:val="00B2290B"/>
    <w:rsid w:val="00B22E00"/>
    <w:rsid w:val="00B25AC0"/>
    <w:rsid w:val="00B27968"/>
    <w:rsid w:val="00B31089"/>
    <w:rsid w:val="00B3124F"/>
    <w:rsid w:val="00B323FF"/>
    <w:rsid w:val="00B33E1A"/>
    <w:rsid w:val="00B3421E"/>
    <w:rsid w:val="00B35019"/>
    <w:rsid w:val="00B3517B"/>
    <w:rsid w:val="00B367D4"/>
    <w:rsid w:val="00B37CA5"/>
    <w:rsid w:val="00B427AD"/>
    <w:rsid w:val="00B46115"/>
    <w:rsid w:val="00B512DD"/>
    <w:rsid w:val="00B518B3"/>
    <w:rsid w:val="00B51E45"/>
    <w:rsid w:val="00B5521B"/>
    <w:rsid w:val="00B56CBA"/>
    <w:rsid w:val="00B57863"/>
    <w:rsid w:val="00B609F7"/>
    <w:rsid w:val="00B644F1"/>
    <w:rsid w:val="00B65ED9"/>
    <w:rsid w:val="00B65FF2"/>
    <w:rsid w:val="00B66329"/>
    <w:rsid w:val="00B668B7"/>
    <w:rsid w:val="00B675C2"/>
    <w:rsid w:val="00B67600"/>
    <w:rsid w:val="00B677E8"/>
    <w:rsid w:val="00B72091"/>
    <w:rsid w:val="00B72D35"/>
    <w:rsid w:val="00B7473C"/>
    <w:rsid w:val="00B74F71"/>
    <w:rsid w:val="00B75429"/>
    <w:rsid w:val="00B755B9"/>
    <w:rsid w:val="00B759BA"/>
    <w:rsid w:val="00B82AE6"/>
    <w:rsid w:val="00B835BA"/>
    <w:rsid w:val="00B835BB"/>
    <w:rsid w:val="00B90B4F"/>
    <w:rsid w:val="00B91907"/>
    <w:rsid w:val="00B92376"/>
    <w:rsid w:val="00B929C8"/>
    <w:rsid w:val="00B9376A"/>
    <w:rsid w:val="00B95B4B"/>
    <w:rsid w:val="00B965CA"/>
    <w:rsid w:val="00B96AEB"/>
    <w:rsid w:val="00B97C58"/>
    <w:rsid w:val="00BA0DF7"/>
    <w:rsid w:val="00BA2472"/>
    <w:rsid w:val="00BA42B8"/>
    <w:rsid w:val="00BA498D"/>
    <w:rsid w:val="00BA4A87"/>
    <w:rsid w:val="00BA53D8"/>
    <w:rsid w:val="00BA73F3"/>
    <w:rsid w:val="00BA75FA"/>
    <w:rsid w:val="00BB128C"/>
    <w:rsid w:val="00BB4D74"/>
    <w:rsid w:val="00BB53F9"/>
    <w:rsid w:val="00BB5BD8"/>
    <w:rsid w:val="00BB652F"/>
    <w:rsid w:val="00BB76BD"/>
    <w:rsid w:val="00BC180E"/>
    <w:rsid w:val="00BC2428"/>
    <w:rsid w:val="00BC26B2"/>
    <w:rsid w:val="00BC3496"/>
    <w:rsid w:val="00BC3A90"/>
    <w:rsid w:val="00BC3CCC"/>
    <w:rsid w:val="00BC430B"/>
    <w:rsid w:val="00BC53D5"/>
    <w:rsid w:val="00BC56C2"/>
    <w:rsid w:val="00BC5D9D"/>
    <w:rsid w:val="00BC609B"/>
    <w:rsid w:val="00BC6A18"/>
    <w:rsid w:val="00BC7B2D"/>
    <w:rsid w:val="00BD0596"/>
    <w:rsid w:val="00BD1BF9"/>
    <w:rsid w:val="00BD1C1B"/>
    <w:rsid w:val="00BD3E6E"/>
    <w:rsid w:val="00BD44C2"/>
    <w:rsid w:val="00BD53C4"/>
    <w:rsid w:val="00BD6177"/>
    <w:rsid w:val="00BD6EAE"/>
    <w:rsid w:val="00BD7300"/>
    <w:rsid w:val="00BE0290"/>
    <w:rsid w:val="00BE24AA"/>
    <w:rsid w:val="00BE478C"/>
    <w:rsid w:val="00BE6533"/>
    <w:rsid w:val="00BE74FF"/>
    <w:rsid w:val="00BF057E"/>
    <w:rsid w:val="00BF0944"/>
    <w:rsid w:val="00BF0C33"/>
    <w:rsid w:val="00BF0D51"/>
    <w:rsid w:val="00BF1F8E"/>
    <w:rsid w:val="00BF397F"/>
    <w:rsid w:val="00BF4BD5"/>
    <w:rsid w:val="00C00121"/>
    <w:rsid w:val="00C010B7"/>
    <w:rsid w:val="00C0152C"/>
    <w:rsid w:val="00C0154E"/>
    <w:rsid w:val="00C042E1"/>
    <w:rsid w:val="00C1195C"/>
    <w:rsid w:val="00C11CE9"/>
    <w:rsid w:val="00C11E4C"/>
    <w:rsid w:val="00C13E64"/>
    <w:rsid w:val="00C13F47"/>
    <w:rsid w:val="00C14347"/>
    <w:rsid w:val="00C14443"/>
    <w:rsid w:val="00C144B5"/>
    <w:rsid w:val="00C15235"/>
    <w:rsid w:val="00C1664D"/>
    <w:rsid w:val="00C17E39"/>
    <w:rsid w:val="00C205CE"/>
    <w:rsid w:val="00C23ACA"/>
    <w:rsid w:val="00C24746"/>
    <w:rsid w:val="00C260B0"/>
    <w:rsid w:val="00C26670"/>
    <w:rsid w:val="00C279B4"/>
    <w:rsid w:val="00C32CBA"/>
    <w:rsid w:val="00C33192"/>
    <w:rsid w:val="00C364AE"/>
    <w:rsid w:val="00C365E4"/>
    <w:rsid w:val="00C40478"/>
    <w:rsid w:val="00C41928"/>
    <w:rsid w:val="00C41F6C"/>
    <w:rsid w:val="00C42047"/>
    <w:rsid w:val="00C43360"/>
    <w:rsid w:val="00C44281"/>
    <w:rsid w:val="00C45F37"/>
    <w:rsid w:val="00C47E9C"/>
    <w:rsid w:val="00C52296"/>
    <w:rsid w:val="00C522CF"/>
    <w:rsid w:val="00C52682"/>
    <w:rsid w:val="00C541D2"/>
    <w:rsid w:val="00C544B5"/>
    <w:rsid w:val="00C55976"/>
    <w:rsid w:val="00C5641A"/>
    <w:rsid w:val="00C57086"/>
    <w:rsid w:val="00C57AD5"/>
    <w:rsid w:val="00C61640"/>
    <w:rsid w:val="00C63F6E"/>
    <w:rsid w:val="00C63F93"/>
    <w:rsid w:val="00C64423"/>
    <w:rsid w:val="00C661B8"/>
    <w:rsid w:val="00C66796"/>
    <w:rsid w:val="00C67629"/>
    <w:rsid w:val="00C6762D"/>
    <w:rsid w:val="00C67CE2"/>
    <w:rsid w:val="00C7087D"/>
    <w:rsid w:val="00C72F78"/>
    <w:rsid w:val="00C73A1E"/>
    <w:rsid w:val="00C80065"/>
    <w:rsid w:val="00C80C1C"/>
    <w:rsid w:val="00C80CE9"/>
    <w:rsid w:val="00C82220"/>
    <w:rsid w:val="00C82D5E"/>
    <w:rsid w:val="00C832DA"/>
    <w:rsid w:val="00C8382E"/>
    <w:rsid w:val="00C86A16"/>
    <w:rsid w:val="00C87DA3"/>
    <w:rsid w:val="00C91E19"/>
    <w:rsid w:val="00C92568"/>
    <w:rsid w:val="00C92823"/>
    <w:rsid w:val="00C92CCD"/>
    <w:rsid w:val="00C93A91"/>
    <w:rsid w:val="00C94B68"/>
    <w:rsid w:val="00C9524E"/>
    <w:rsid w:val="00C96CC7"/>
    <w:rsid w:val="00C9709A"/>
    <w:rsid w:val="00CA0145"/>
    <w:rsid w:val="00CA1267"/>
    <w:rsid w:val="00CA3121"/>
    <w:rsid w:val="00CA66ED"/>
    <w:rsid w:val="00CA7940"/>
    <w:rsid w:val="00CB167B"/>
    <w:rsid w:val="00CB542F"/>
    <w:rsid w:val="00CB5CED"/>
    <w:rsid w:val="00CB746E"/>
    <w:rsid w:val="00CB7F15"/>
    <w:rsid w:val="00CC0267"/>
    <w:rsid w:val="00CC1AE1"/>
    <w:rsid w:val="00CC3814"/>
    <w:rsid w:val="00CC6014"/>
    <w:rsid w:val="00CC7649"/>
    <w:rsid w:val="00CD0673"/>
    <w:rsid w:val="00CD4B12"/>
    <w:rsid w:val="00CD4EE2"/>
    <w:rsid w:val="00CD5482"/>
    <w:rsid w:val="00CE0157"/>
    <w:rsid w:val="00CE11F7"/>
    <w:rsid w:val="00CE34A7"/>
    <w:rsid w:val="00CE4400"/>
    <w:rsid w:val="00CE5DD4"/>
    <w:rsid w:val="00CE626B"/>
    <w:rsid w:val="00CE7669"/>
    <w:rsid w:val="00CF3C4D"/>
    <w:rsid w:val="00CF3D93"/>
    <w:rsid w:val="00CF4944"/>
    <w:rsid w:val="00CF705B"/>
    <w:rsid w:val="00D01A9C"/>
    <w:rsid w:val="00D01C16"/>
    <w:rsid w:val="00D025DD"/>
    <w:rsid w:val="00D03CF0"/>
    <w:rsid w:val="00D04B8A"/>
    <w:rsid w:val="00D05A14"/>
    <w:rsid w:val="00D10DF3"/>
    <w:rsid w:val="00D127F0"/>
    <w:rsid w:val="00D1432C"/>
    <w:rsid w:val="00D14D56"/>
    <w:rsid w:val="00D15F67"/>
    <w:rsid w:val="00D15FFA"/>
    <w:rsid w:val="00D205F5"/>
    <w:rsid w:val="00D224DB"/>
    <w:rsid w:val="00D23224"/>
    <w:rsid w:val="00D232D7"/>
    <w:rsid w:val="00D24D86"/>
    <w:rsid w:val="00D2598A"/>
    <w:rsid w:val="00D34163"/>
    <w:rsid w:val="00D34520"/>
    <w:rsid w:val="00D355D0"/>
    <w:rsid w:val="00D35B49"/>
    <w:rsid w:val="00D365AF"/>
    <w:rsid w:val="00D36B74"/>
    <w:rsid w:val="00D4020E"/>
    <w:rsid w:val="00D4068C"/>
    <w:rsid w:val="00D44624"/>
    <w:rsid w:val="00D44D99"/>
    <w:rsid w:val="00D4562E"/>
    <w:rsid w:val="00D45E6D"/>
    <w:rsid w:val="00D4739E"/>
    <w:rsid w:val="00D50956"/>
    <w:rsid w:val="00D51E70"/>
    <w:rsid w:val="00D52614"/>
    <w:rsid w:val="00D535CB"/>
    <w:rsid w:val="00D55397"/>
    <w:rsid w:val="00D55DB1"/>
    <w:rsid w:val="00D55FB1"/>
    <w:rsid w:val="00D57910"/>
    <w:rsid w:val="00D57D14"/>
    <w:rsid w:val="00D6036E"/>
    <w:rsid w:val="00D61FC9"/>
    <w:rsid w:val="00D6312F"/>
    <w:rsid w:val="00D6400D"/>
    <w:rsid w:val="00D64DDC"/>
    <w:rsid w:val="00D6636A"/>
    <w:rsid w:val="00D6685B"/>
    <w:rsid w:val="00D74449"/>
    <w:rsid w:val="00D745F7"/>
    <w:rsid w:val="00D77630"/>
    <w:rsid w:val="00D82CC3"/>
    <w:rsid w:val="00D845D3"/>
    <w:rsid w:val="00D9269D"/>
    <w:rsid w:val="00D93281"/>
    <w:rsid w:val="00D94AB0"/>
    <w:rsid w:val="00D95E82"/>
    <w:rsid w:val="00D963D0"/>
    <w:rsid w:val="00D96CDD"/>
    <w:rsid w:val="00DA3570"/>
    <w:rsid w:val="00DA48B1"/>
    <w:rsid w:val="00DA4AB4"/>
    <w:rsid w:val="00DA4D97"/>
    <w:rsid w:val="00DA63FB"/>
    <w:rsid w:val="00DA6736"/>
    <w:rsid w:val="00DB1617"/>
    <w:rsid w:val="00DB16BA"/>
    <w:rsid w:val="00DB33DD"/>
    <w:rsid w:val="00DB4558"/>
    <w:rsid w:val="00DB4B31"/>
    <w:rsid w:val="00DB778F"/>
    <w:rsid w:val="00DB7E05"/>
    <w:rsid w:val="00DC12EF"/>
    <w:rsid w:val="00DC2171"/>
    <w:rsid w:val="00DC27A6"/>
    <w:rsid w:val="00DC5ECB"/>
    <w:rsid w:val="00DC698A"/>
    <w:rsid w:val="00DC789E"/>
    <w:rsid w:val="00DD1B88"/>
    <w:rsid w:val="00DD2852"/>
    <w:rsid w:val="00DD3453"/>
    <w:rsid w:val="00DD4359"/>
    <w:rsid w:val="00DD517A"/>
    <w:rsid w:val="00DD6DF2"/>
    <w:rsid w:val="00DE5042"/>
    <w:rsid w:val="00DE56C4"/>
    <w:rsid w:val="00DE5F5D"/>
    <w:rsid w:val="00DE73B6"/>
    <w:rsid w:val="00DE73B8"/>
    <w:rsid w:val="00DE77A2"/>
    <w:rsid w:val="00DF0895"/>
    <w:rsid w:val="00DF7659"/>
    <w:rsid w:val="00E002BB"/>
    <w:rsid w:val="00E00495"/>
    <w:rsid w:val="00E024F4"/>
    <w:rsid w:val="00E032A8"/>
    <w:rsid w:val="00E04393"/>
    <w:rsid w:val="00E061ED"/>
    <w:rsid w:val="00E0798D"/>
    <w:rsid w:val="00E07EBF"/>
    <w:rsid w:val="00E07EF1"/>
    <w:rsid w:val="00E11BC8"/>
    <w:rsid w:val="00E12D37"/>
    <w:rsid w:val="00E13054"/>
    <w:rsid w:val="00E15227"/>
    <w:rsid w:val="00E1691A"/>
    <w:rsid w:val="00E268AC"/>
    <w:rsid w:val="00E27BFE"/>
    <w:rsid w:val="00E30466"/>
    <w:rsid w:val="00E31132"/>
    <w:rsid w:val="00E32ADF"/>
    <w:rsid w:val="00E34C23"/>
    <w:rsid w:val="00E35779"/>
    <w:rsid w:val="00E36977"/>
    <w:rsid w:val="00E40252"/>
    <w:rsid w:val="00E40A71"/>
    <w:rsid w:val="00E40FD0"/>
    <w:rsid w:val="00E4103D"/>
    <w:rsid w:val="00E41865"/>
    <w:rsid w:val="00E44512"/>
    <w:rsid w:val="00E46230"/>
    <w:rsid w:val="00E46455"/>
    <w:rsid w:val="00E520F6"/>
    <w:rsid w:val="00E52616"/>
    <w:rsid w:val="00E52905"/>
    <w:rsid w:val="00E5562A"/>
    <w:rsid w:val="00E639BE"/>
    <w:rsid w:val="00E646F1"/>
    <w:rsid w:val="00E64D8A"/>
    <w:rsid w:val="00E65086"/>
    <w:rsid w:val="00E675FF"/>
    <w:rsid w:val="00E703C8"/>
    <w:rsid w:val="00E71EF4"/>
    <w:rsid w:val="00E800E0"/>
    <w:rsid w:val="00E80F50"/>
    <w:rsid w:val="00E80FD2"/>
    <w:rsid w:val="00E8202B"/>
    <w:rsid w:val="00E85272"/>
    <w:rsid w:val="00E86981"/>
    <w:rsid w:val="00E8702D"/>
    <w:rsid w:val="00E90F02"/>
    <w:rsid w:val="00E91240"/>
    <w:rsid w:val="00E91485"/>
    <w:rsid w:val="00E91686"/>
    <w:rsid w:val="00E916CF"/>
    <w:rsid w:val="00E95FE1"/>
    <w:rsid w:val="00E964AA"/>
    <w:rsid w:val="00E969EC"/>
    <w:rsid w:val="00E974DF"/>
    <w:rsid w:val="00EA1FA5"/>
    <w:rsid w:val="00EA2882"/>
    <w:rsid w:val="00EA3978"/>
    <w:rsid w:val="00EA60A9"/>
    <w:rsid w:val="00EA7662"/>
    <w:rsid w:val="00EB0749"/>
    <w:rsid w:val="00EB217A"/>
    <w:rsid w:val="00EB2FA0"/>
    <w:rsid w:val="00EB39A2"/>
    <w:rsid w:val="00EB427B"/>
    <w:rsid w:val="00EB645C"/>
    <w:rsid w:val="00EB6B84"/>
    <w:rsid w:val="00EC09B2"/>
    <w:rsid w:val="00EC0AA5"/>
    <w:rsid w:val="00EC1C52"/>
    <w:rsid w:val="00EC3F4D"/>
    <w:rsid w:val="00ED0D8D"/>
    <w:rsid w:val="00ED1245"/>
    <w:rsid w:val="00ED14C5"/>
    <w:rsid w:val="00ED180D"/>
    <w:rsid w:val="00ED1AE7"/>
    <w:rsid w:val="00ED1FF6"/>
    <w:rsid w:val="00ED412B"/>
    <w:rsid w:val="00ED53C1"/>
    <w:rsid w:val="00ED73DF"/>
    <w:rsid w:val="00ED76A2"/>
    <w:rsid w:val="00EE0592"/>
    <w:rsid w:val="00EE25E8"/>
    <w:rsid w:val="00EE478D"/>
    <w:rsid w:val="00EE54E9"/>
    <w:rsid w:val="00EE5788"/>
    <w:rsid w:val="00EF07A8"/>
    <w:rsid w:val="00EF0BC8"/>
    <w:rsid w:val="00EF1B2A"/>
    <w:rsid w:val="00EF2F80"/>
    <w:rsid w:val="00EF4098"/>
    <w:rsid w:val="00EF472E"/>
    <w:rsid w:val="00EF4C3D"/>
    <w:rsid w:val="00EF7A25"/>
    <w:rsid w:val="00F01E3B"/>
    <w:rsid w:val="00F024F1"/>
    <w:rsid w:val="00F0411B"/>
    <w:rsid w:val="00F059A1"/>
    <w:rsid w:val="00F073CD"/>
    <w:rsid w:val="00F11812"/>
    <w:rsid w:val="00F11FC3"/>
    <w:rsid w:val="00F12ABD"/>
    <w:rsid w:val="00F1404B"/>
    <w:rsid w:val="00F159AF"/>
    <w:rsid w:val="00F20E90"/>
    <w:rsid w:val="00F225A0"/>
    <w:rsid w:val="00F24C78"/>
    <w:rsid w:val="00F261BB"/>
    <w:rsid w:val="00F26204"/>
    <w:rsid w:val="00F27461"/>
    <w:rsid w:val="00F276C1"/>
    <w:rsid w:val="00F33682"/>
    <w:rsid w:val="00F34010"/>
    <w:rsid w:val="00F345A9"/>
    <w:rsid w:val="00F35BB8"/>
    <w:rsid w:val="00F375DC"/>
    <w:rsid w:val="00F37B6F"/>
    <w:rsid w:val="00F4116C"/>
    <w:rsid w:val="00F433D1"/>
    <w:rsid w:val="00F45E4A"/>
    <w:rsid w:val="00F46F8E"/>
    <w:rsid w:val="00F500B1"/>
    <w:rsid w:val="00F51570"/>
    <w:rsid w:val="00F51988"/>
    <w:rsid w:val="00F52573"/>
    <w:rsid w:val="00F53459"/>
    <w:rsid w:val="00F56515"/>
    <w:rsid w:val="00F6140B"/>
    <w:rsid w:val="00F61E70"/>
    <w:rsid w:val="00F61F72"/>
    <w:rsid w:val="00F64281"/>
    <w:rsid w:val="00F64377"/>
    <w:rsid w:val="00F647CB"/>
    <w:rsid w:val="00F65DB3"/>
    <w:rsid w:val="00F67171"/>
    <w:rsid w:val="00F70330"/>
    <w:rsid w:val="00F70485"/>
    <w:rsid w:val="00F725BA"/>
    <w:rsid w:val="00F75133"/>
    <w:rsid w:val="00F75A77"/>
    <w:rsid w:val="00F75F00"/>
    <w:rsid w:val="00F774E0"/>
    <w:rsid w:val="00F80C2E"/>
    <w:rsid w:val="00F81351"/>
    <w:rsid w:val="00F834C6"/>
    <w:rsid w:val="00F84911"/>
    <w:rsid w:val="00F85B2E"/>
    <w:rsid w:val="00F86791"/>
    <w:rsid w:val="00F86F8C"/>
    <w:rsid w:val="00F876F9"/>
    <w:rsid w:val="00F9026E"/>
    <w:rsid w:val="00F90DE0"/>
    <w:rsid w:val="00F91772"/>
    <w:rsid w:val="00F968E2"/>
    <w:rsid w:val="00F978C5"/>
    <w:rsid w:val="00FA0A13"/>
    <w:rsid w:val="00FA12A6"/>
    <w:rsid w:val="00FB0EC2"/>
    <w:rsid w:val="00FB2903"/>
    <w:rsid w:val="00FB51BB"/>
    <w:rsid w:val="00FB5A7D"/>
    <w:rsid w:val="00FC0443"/>
    <w:rsid w:val="00FC0B0B"/>
    <w:rsid w:val="00FC1A15"/>
    <w:rsid w:val="00FC2163"/>
    <w:rsid w:val="00FC2A4A"/>
    <w:rsid w:val="00FC2EA4"/>
    <w:rsid w:val="00FC4FEA"/>
    <w:rsid w:val="00FC545B"/>
    <w:rsid w:val="00FC57D0"/>
    <w:rsid w:val="00FC5C62"/>
    <w:rsid w:val="00FC6280"/>
    <w:rsid w:val="00FC7FB4"/>
    <w:rsid w:val="00FD013E"/>
    <w:rsid w:val="00FD23B4"/>
    <w:rsid w:val="00FD5204"/>
    <w:rsid w:val="00FD72E4"/>
    <w:rsid w:val="00FD7A62"/>
    <w:rsid w:val="00FE09D4"/>
    <w:rsid w:val="00FE141E"/>
    <w:rsid w:val="00FE1A99"/>
    <w:rsid w:val="00FE26AD"/>
    <w:rsid w:val="00FE51DD"/>
    <w:rsid w:val="00FE5327"/>
    <w:rsid w:val="00FE7D3C"/>
    <w:rsid w:val="00FF1846"/>
    <w:rsid w:val="00FF2384"/>
    <w:rsid w:val="00FF46C7"/>
    <w:rsid w:val="00FF53A5"/>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1AE022"/>
  <w15:docId w15:val="{67A2F88A-3EB8-4C1D-8E0B-30110E0D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AttorneyName">
    <w:name w:val="Attorney Name"/>
    <w:basedOn w:val="SingleSpacing"/>
  </w:style>
  <w:style w:type="paragraph" w:customStyle="1" w:styleId="Signatureblockdate">
    <w:name w:val="Signature block date"/>
    <w:basedOn w:val="Normal"/>
    <w:rsid w:val="00D4068C"/>
    <w:pPr>
      <w:spacing w:line="245" w:lineRule="exact"/>
      <w:ind w:left="4680"/>
    </w:pPr>
  </w:style>
  <w:style w:type="paragraph" w:customStyle="1" w:styleId="Signatureblockline">
    <w:name w:val="Signature block line"/>
    <w:basedOn w:val="Normal"/>
    <w:rsid w:val="00D4068C"/>
    <w:pPr>
      <w:tabs>
        <w:tab w:val="left" w:leader="underscore" w:pos="9360"/>
      </w:tabs>
      <w:spacing w:line="245" w:lineRule="exact"/>
      <w:ind w:left="6000"/>
    </w:pPr>
  </w:style>
  <w:style w:type="paragraph" w:styleId="Header">
    <w:name w:val="header"/>
    <w:basedOn w:val="Normal"/>
    <w:link w:val="HeaderChar"/>
    <w:uiPriority w:val="99"/>
    <w:unhideWhenUsed/>
    <w:rsid w:val="00940243"/>
    <w:pPr>
      <w:tabs>
        <w:tab w:val="center" w:pos="4680"/>
        <w:tab w:val="right" w:pos="9360"/>
      </w:tabs>
    </w:pPr>
  </w:style>
  <w:style w:type="character" w:customStyle="1" w:styleId="HeaderChar">
    <w:name w:val="Header Char"/>
    <w:basedOn w:val="DefaultParagraphFont"/>
    <w:link w:val="Header"/>
    <w:uiPriority w:val="99"/>
    <w:rsid w:val="00940243"/>
    <w:rPr>
      <w:rFonts w:ascii="Courier New" w:hAnsi="Courier New"/>
    </w:rPr>
  </w:style>
  <w:style w:type="paragraph" w:styleId="Footer">
    <w:name w:val="footer"/>
    <w:basedOn w:val="Normal"/>
    <w:link w:val="FooterChar"/>
    <w:uiPriority w:val="99"/>
    <w:unhideWhenUsed/>
    <w:rsid w:val="00940243"/>
    <w:pPr>
      <w:tabs>
        <w:tab w:val="center" w:pos="4680"/>
        <w:tab w:val="right" w:pos="9360"/>
      </w:tabs>
    </w:pPr>
  </w:style>
  <w:style w:type="character" w:customStyle="1" w:styleId="FooterChar">
    <w:name w:val="Footer Char"/>
    <w:basedOn w:val="DefaultParagraphFont"/>
    <w:link w:val="Footer"/>
    <w:uiPriority w:val="99"/>
    <w:rsid w:val="00940243"/>
    <w:rPr>
      <w:rFonts w:ascii="Courier New" w:hAnsi="Courier New"/>
    </w:rPr>
  </w:style>
  <w:style w:type="paragraph" w:styleId="FootnoteText">
    <w:name w:val="footnote text"/>
    <w:basedOn w:val="Normal"/>
    <w:link w:val="FootnoteTextChar"/>
    <w:uiPriority w:val="99"/>
    <w:semiHidden/>
    <w:unhideWhenUsed/>
    <w:rsid w:val="00CF705B"/>
    <w:pPr>
      <w:spacing w:line="240" w:lineRule="auto"/>
    </w:pPr>
    <w:rPr>
      <w:rFonts w:ascii="Book Antiqua" w:hAnsi="Book Antiqua"/>
    </w:rPr>
  </w:style>
  <w:style w:type="character" w:customStyle="1" w:styleId="FootnoteTextChar">
    <w:name w:val="Footnote Text Char"/>
    <w:basedOn w:val="DefaultParagraphFont"/>
    <w:link w:val="FootnoteText"/>
    <w:uiPriority w:val="99"/>
    <w:semiHidden/>
    <w:rsid w:val="00CF705B"/>
    <w:rPr>
      <w:rFonts w:ascii="Book Antiqua" w:hAnsi="Book Antiqua"/>
    </w:rPr>
  </w:style>
  <w:style w:type="character" w:styleId="FootnoteReference">
    <w:name w:val="footnote reference"/>
    <w:basedOn w:val="DefaultParagraphFont"/>
    <w:uiPriority w:val="99"/>
    <w:unhideWhenUsed/>
    <w:rsid w:val="00FE09D4"/>
    <w:rPr>
      <w:vertAlign w:val="superscript"/>
    </w:rPr>
  </w:style>
  <w:style w:type="paragraph" w:styleId="ListParagraph">
    <w:name w:val="List Paragraph"/>
    <w:basedOn w:val="Normal"/>
    <w:uiPriority w:val="34"/>
    <w:qFormat/>
    <w:rsid w:val="004D0846"/>
    <w:pPr>
      <w:ind w:left="720"/>
      <w:contextualSpacing/>
    </w:pPr>
  </w:style>
  <w:style w:type="paragraph" w:styleId="BalloonText">
    <w:name w:val="Balloon Text"/>
    <w:basedOn w:val="Normal"/>
    <w:link w:val="BalloonTextChar"/>
    <w:uiPriority w:val="99"/>
    <w:semiHidden/>
    <w:unhideWhenUsed/>
    <w:rsid w:val="002035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FA"/>
    <w:rPr>
      <w:rFonts w:ascii="Tahoma" w:hAnsi="Tahoma" w:cs="Tahoma"/>
      <w:sz w:val="16"/>
      <w:szCs w:val="16"/>
    </w:rPr>
  </w:style>
  <w:style w:type="character" w:styleId="Hyperlink">
    <w:name w:val="Hyperlink"/>
    <w:basedOn w:val="DefaultParagraphFont"/>
    <w:uiPriority w:val="99"/>
    <w:unhideWhenUsed/>
    <w:rsid w:val="001456D2"/>
    <w:rPr>
      <w:color w:val="0000FF" w:themeColor="hyperlink"/>
      <w:u w:val="single"/>
    </w:rPr>
  </w:style>
  <w:style w:type="table" w:styleId="TableGrid">
    <w:name w:val="Table Grid"/>
    <w:basedOn w:val="TableNormal"/>
    <w:uiPriority w:val="59"/>
    <w:rsid w:val="00D1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08794">
      <w:bodyDiv w:val="1"/>
      <w:marLeft w:val="0"/>
      <w:marRight w:val="0"/>
      <w:marTop w:val="0"/>
      <w:marBottom w:val="0"/>
      <w:divBdr>
        <w:top w:val="none" w:sz="0" w:space="0" w:color="auto"/>
        <w:left w:val="none" w:sz="0" w:space="0" w:color="auto"/>
        <w:bottom w:val="none" w:sz="0" w:space="0" w:color="auto"/>
        <w:right w:val="none" w:sz="0" w:space="0" w:color="auto"/>
      </w:divBdr>
    </w:div>
    <w:div w:id="761683183">
      <w:bodyDiv w:val="1"/>
      <w:marLeft w:val="0"/>
      <w:marRight w:val="0"/>
      <w:marTop w:val="0"/>
      <w:marBottom w:val="0"/>
      <w:divBdr>
        <w:top w:val="none" w:sz="0" w:space="0" w:color="auto"/>
        <w:left w:val="none" w:sz="0" w:space="0" w:color="auto"/>
        <w:bottom w:val="none" w:sz="0" w:space="0" w:color="auto"/>
        <w:right w:val="none" w:sz="0" w:space="0" w:color="auto"/>
      </w:divBdr>
    </w:div>
    <w:div w:id="1048067669">
      <w:bodyDiv w:val="1"/>
      <w:marLeft w:val="0"/>
      <w:marRight w:val="0"/>
      <w:marTop w:val="0"/>
      <w:marBottom w:val="0"/>
      <w:divBdr>
        <w:top w:val="none" w:sz="0" w:space="0" w:color="auto"/>
        <w:left w:val="none" w:sz="0" w:space="0" w:color="auto"/>
        <w:bottom w:val="none" w:sz="0" w:space="0" w:color="auto"/>
        <w:right w:val="none" w:sz="0" w:space="0" w:color="auto"/>
      </w:divBdr>
    </w:div>
    <w:div w:id="1104838281">
      <w:bodyDiv w:val="1"/>
      <w:marLeft w:val="0"/>
      <w:marRight w:val="0"/>
      <w:marTop w:val="0"/>
      <w:marBottom w:val="0"/>
      <w:divBdr>
        <w:top w:val="none" w:sz="0" w:space="0" w:color="auto"/>
        <w:left w:val="none" w:sz="0" w:space="0" w:color="auto"/>
        <w:bottom w:val="none" w:sz="0" w:space="0" w:color="auto"/>
        <w:right w:val="none" w:sz="0" w:space="0" w:color="auto"/>
      </w:divBdr>
    </w:div>
    <w:div w:id="188012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1\AppData\Roaming\Microsoft\Templates\Legal%20pleading%20paper%20(25%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5EC4-F9AC-4C42-BD86-77DD0620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(25 lines)</Template>
  <TotalTime>0</TotalTime>
  <Pages>5</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horecky@ite.net</cp:lastModifiedBy>
  <cp:revision>2</cp:revision>
  <cp:lastPrinted>2020-07-27T06:56:00Z</cp:lastPrinted>
  <dcterms:created xsi:type="dcterms:W3CDTF">2020-09-08T02:49:00Z</dcterms:created>
  <dcterms:modified xsi:type="dcterms:W3CDTF">2020-09-08T02:49:00Z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TC060869931033</vt:lpwstr>
  </property>
</Properties>
</file>