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B0C1" w14:textId="77777777" w:rsidR="00782C4F" w:rsidRPr="00BE2688" w:rsidRDefault="00782C4F" w:rsidP="006E3058">
      <w:pPr>
        <w:spacing w:line="240" w:lineRule="auto"/>
        <w:jc w:val="center"/>
        <w:rPr>
          <w:b/>
          <w:sz w:val="24"/>
          <w:szCs w:val="24"/>
        </w:rPr>
      </w:pPr>
      <w:r w:rsidRPr="00BE2688">
        <w:rPr>
          <w:b/>
          <w:sz w:val="24"/>
          <w:szCs w:val="24"/>
        </w:rPr>
        <w:t>BEFORE THE GUAM PUBLIC UTILITIES COMMISSION</w:t>
      </w:r>
    </w:p>
    <w:p w14:paraId="5B9FD738" w14:textId="77777777" w:rsidR="00782C4F" w:rsidRPr="00BE2688" w:rsidRDefault="00782C4F" w:rsidP="006E3058">
      <w:pPr>
        <w:spacing w:line="240" w:lineRule="auto"/>
        <w:jc w:val="center"/>
        <w:rPr>
          <w:b/>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782C4F" w:rsidRPr="00BE2688" w14:paraId="05ED81CD" w14:textId="77777777" w:rsidTr="00E963CB">
        <w:tc>
          <w:tcPr>
            <w:tcW w:w="4542" w:type="dxa"/>
            <w:tcBorders>
              <w:bottom w:val="single" w:sz="4" w:space="0" w:color="auto"/>
            </w:tcBorders>
            <w:shd w:val="clear" w:color="auto" w:fill="auto"/>
          </w:tcPr>
          <w:p w14:paraId="1E1069F8" w14:textId="77777777" w:rsidR="00782C4F" w:rsidRPr="00BE2688" w:rsidRDefault="00782C4F" w:rsidP="006E3058">
            <w:pPr>
              <w:spacing w:line="240" w:lineRule="auto"/>
              <w:ind w:left="1620"/>
              <w:rPr>
                <w:b/>
                <w:sz w:val="24"/>
                <w:szCs w:val="24"/>
              </w:rPr>
            </w:pPr>
            <w:bookmarkStart w:id="0" w:name="Parties"/>
            <w:bookmarkEnd w:id="0"/>
          </w:p>
          <w:p w14:paraId="76BE14C6" w14:textId="77777777" w:rsidR="00782C4F" w:rsidRPr="00BE2688" w:rsidRDefault="00782C4F" w:rsidP="006E3058">
            <w:pPr>
              <w:spacing w:line="240" w:lineRule="auto"/>
              <w:rPr>
                <w:b/>
                <w:sz w:val="24"/>
                <w:szCs w:val="24"/>
              </w:rPr>
            </w:pPr>
            <w:r w:rsidRPr="00BE2688">
              <w:rPr>
                <w:b/>
                <w:sz w:val="24"/>
                <w:szCs w:val="24"/>
              </w:rPr>
              <w:t>IN THE MATTER OF:</w:t>
            </w:r>
          </w:p>
          <w:p w14:paraId="752FED48" w14:textId="77777777" w:rsidR="00782C4F" w:rsidRDefault="00782C4F" w:rsidP="006E3058">
            <w:pPr>
              <w:spacing w:line="240" w:lineRule="auto"/>
              <w:rPr>
                <w:b/>
                <w:sz w:val="24"/>
                <w:szCs w:val="24"/>
              </w:rPr>
            </w:pPr>
          </w:p>
          <w:p w14:paraId="4AAEDF03" w14:textId="72B1FCCD" w:rsidR="00782C4F" w:rsidRPr="00BE2688" w:rsidRDefault="00782C4F" w:rsidP="006E3058">
            <w:pPr>
              <w:spacing w:line="240" w:lineRule="auto"/>
              <w:rPr>
                <w:b/>
                <w:sz w:val="24"/>
                <w:szCs w:val="24"/>
              </w:rPr>
            </w:pPr>
            <w:r>
              <w:rPr>
                <w:b/>
                <w:sz w:val="24"/>
                <w:szCs w:val="24"/>
              </w:rPr>
              <w:t xml:space="preserve">THE </w:t>
            </w:r>
            <w:r w:rsidR="0048503C">
              <w:rPr>
                <w:b/>
                <w:sz w:val="24"/>
                <w:szCs w:val="24"/>
              </w:rPr>
              <w:t xml:space="preserve">GUAM </w:t>
            </w:r>
            <w:r w:rsidR="00813D7C">
              <w:rPr>
                <w:b/>
                <w:sz w:val="24"/>
                <w:szCs w:val="24"/>
              </w:rPr>
              <w:t>WATERWORKS</w:t>
            </w:r>
            <w:r>
              <w:rPr>
                <w:b/>
                <w:sz w:val="24"/>
                <w:szCs w:val="24"/>
              </w:rPr>
              <w:t xml:space="preserve"> AUTHORITY</w:t>
            </w:r>
            <w:r w:rsidR="005C327A">
              <w:rPr>
                <w:b/>
                <w:sz w:val="24"/>
                <w:szCs w:val="24"/>
              </w:rPr>
              <w:t>’S</w:t>
            </w:r>
            <w:r>
              <w:rPr>
                <w:b/>
                <w:sz w:val="24"/>
                <w:szCs w:val="24"/>
              </w:rPr>
              <w:t xml:space="preserve"> </w:t>
            </w:r>
            <w:r w:rsidR="005C327A">
              <w:rPr>
                <w:b/>
                <w:sz w:val="24"/>
                <w:szCs w:val="24"/>
              </w:rPr>
              <w:t xml:space="preserve">MOTION FOR RECONSIDERATION </w:t>
            </w:r>
            <w:r w:rsidR="00C17241">
              <w:rPr>
                <w:b/>
                <w:sz w:val="24"/>
                <w:szCs w:val="24"/>
              </w:rPr>
              <w:t>FOR</w:t>
            </w:r>
            <w:r>
              <w:rPr>
                <w:b/>
                <w:sz w:val="24"/>
                <w:szCs w:val="24"/>
              </w:rPr>
              <w:t xml:space="preserve"> </w:t>
            </w:r>
            <w:r w:rsidR="00C17241">
              <w:rPr>
                <w:b/>
                <w:sz w:val="24"/>
                <w:szCs w:val="24"/>
              </w:rPr>
              <w:t xml:space="preserve">APPROVAL </w:t>
            </w:r>
            <w:r w:rsidR="00602423">
              <w:rPr>
                <w:b/>
                <w:sz w:val="24"/>
                <w:szCs w:val="24"/>
              </w:rPr>
              <w:t>OF GWA’S</w:t>
            </w:r>
            <w:r w:rsidR="00C17241">
              <w:rPr>
                <w:b/>
                <w:sz w:val="24"/>
                <w:szCs w:val="24"/>
              </w:rPr>
              <w:t xml:space="preserve"> E</w:t>
            </w:r>
            <w:r w:rsidR="00602423">
              <w:rPr>
                <w:b/>
                <w:sz w:val="24"/>
                <w:szCs w:val="24"/>
              </w:rPr>
              <w:t xml:space="preserve">NTERPRISE RESOURCE PLANNING SYSTEM UPGRADE UNDER THE </w:t>
            </w:r>
            <w:r w:rsidR="00C17241">
              <w:rPr>
                <w:b/>
                <w:sz w:val="24"/>
                <w:szCs w:val="24"/>
              </w:rPr>
              <w:t xml:space="preserve">CONTRACT REVIEW PROTOCOL </w:t>
            </w:r>
          </w:p>
        </w:tc>
        <w:tc>
          <w:tcPr>
            <w:tcW w:w="276" w:type="dxa"/>
            <w:shd w:val="clear" w:color="auto" w:fill="auto"/>
          </w:tcPr>
          <w:p w14:paraId="31AE59AC" w14:textId="77777777" w:rsidR="00782C4F" w:rsidRPr="00BE2688" w:rsidRDefault="00782C4F" w:rsidP="006E3058">
            <w:pPr>
              <w:pStyle w:val="SingleSpacing"/>
              <w:spacing w:line="240" w:lineRule="auto"/>
              <w:rPr>
                <w:b/>
                <w:sz w:val="24"/>
                <w:szCs w:val="24"/>
              </w:rPr>
            </w:pPr>
            <w:r w:rsidRPr="00BE2688">
              <w:rPr>
                <w:b/>
                <w:sz w:val="24"/>
                <w:szCs w:val="24"/>
              </w:rPr>
              <w:t>)</w:t>
            </w:r>
          </w:p>
          <w:p w14:paraId="08B2DE53" w14:textId="77777777" w:rsidR="00782C4F" w:rsidRPr="00BE2688" w:rsidRDefault="00782C4F" w:rsidP="006E3058">
            <w:pPr>
              <w:pStyle w:val="SingleSpacing"/>
              <w:spacing w:line="240" w:lineRule="auto"/>
              <w:rPr>
                <w:b/>
                <w:sz w:val="24"/>
                <w:szCs w:val="24"/>
              </w:rPr>
            </w:pPr>
            <w:r w:rsidRPr="00BE2688">
              <w:rPr>
                <w:b/>
                <w:sz w:val="24"/>
                <w:szCs w:val="24"/>
              </w:rPr>
              <w:t>)</w:t>
            </w:r>
          </w:p>
          <w:p w14:paraId="5107CA87" w14:textId="77777777" w:rsidR="00782C4F" w:rsidRPr="00BE2688" w:rsidRDefault="00782C4F" w:rsidP="006E3058">
            <w:pPr>
              <w:pStyle w:val="SingleSpacing"/>
              <w:spacing w:line="240" w:lineRule="auto"/>
              <w:rPr>
                <w:b/>
                <w:sz w:val="24"/>
                <w:szCs w:val="24"/>
              </w:rPr>
            </w:pPr>
            <w:r w:rsidRPr="00BE2688">
              <w:rPr>
                <w:b/>
                <w:sz w:val="24"/>
                <w:szCs w:val="24"/>
              </w:rPr>
              <w:t>)</w:t>
            </w:r>
          </w:p>
          <w:p w14:paraId="32F1759C" w14:textId="77777777" w:rsidR="00782C4F" w:rsidRPr="00BE2688" w:rsidRDefault="00782C4F" w:rsidP="006E3058">
            <w:pPr>
              <w:pStyle w:val="SingleSpacing"/>
              <w:spacing w:line="240" w:lineRule="auto"/>
              <w:rPr>
                <w:b/>
                <w:sz w:val="24"/>
                <w:szCs w:val="24"/>
              </w:rPr>
            </w:pPr>
            <w:r w:rsidRPr="00BE2688">
              <w:rPr>
                <w:b/>
                <w:sz w:val="24"/>
                <w:szCs w:val="24"/>
              </w:rPr>
              <w:t>)</w:t>
            </w:r>
          </w:p>
          <w:p w14:paraId="7439AFF8" w14:textId="77777777" w:rsidR="00782C4F" w:rsidRPr="00BE2688" w:rsidRDefault="00782C4F" w:rsidP="006E3058">
            <w:pPr>
              <w:pStyle w:val="SingleSpacing"/>
              <w:spacing w:line="240" w:lineRule="auto"/>
              <w:rPr>
                <w:b/>
                <w:sz w:val="24"/>
                <w:szCs w:val="24"/>
              </w:rPr>
            </w:pPr>
            <w:r w:rsidRPr="00BE2688">
              <w:rPr>
                <w:b/>
                <w:sz w:val="24"/>
                <w:szCs w:val="24"/>
              </w:rPr>
              <w:t>)</w:t>
            </w:r>
          </w:p>
          <w:p w14:paraId="6420B62D" w14:textId="77777777" w:rsidR="00782C4F" w:rsidRPr="00BE2688" w:rsidRDefault="00782C4F" w:rsidP="006E3058">
            <w:pPr>
              <w:pStyle w:val="SingleSpacing"/>
              <w:spacing w:line="240" w:lineRule="auto"/>
              <w:rPr>
                <w:b/>
                <w:sz w:val="24"/>
                <w:szCs w:val="24"/>
              </w:rPr>
            </w:pPr>
            <w:r w:rsidRPr="00BE2688">
              <w:rPr>
                <w:b/>
                <w:sz w:val="24"/>
                <w:szCs w:val="24"/>
              </w:rPr>
              <w:t>)</w:t>
            </w:r>
          </w:p>
          <w:p w14:paraId="55F9CA91" w14:textId="77777777" w:rsidR="00782C4F" w:rsidRPr="00BE2688" w:rsidRDefault="00782C4F" w:rsidP="006E3058">
            <w:pPr>
              <w:pStyle w:val="SingleSpacing"/>
              <w:spacing w:line="240" w:lineRule="auto"/>
              <w:rPr>
                <w:b/>
                <w:sz w:val="24"/>
                <w:szCs w:val="24"/>
              </w:rPr>
            </w:pPr>
            <w:r w:rsidRPr="00BE2688">
              <w:rPr>
                <w:b/>
                <w:sz w:val="24"/>
                <w:szCs w:val="24"/>
              </w:rPr>
              <w:t>)</w:t>
            </w:r>
          </w:p>
          <w:p w14:paraId="6C3FEBAD" w14:textId="77777777" w:rsidR="00782C4F" w:rsidRDefault="00782C4F" w:rsidP="006E3058">
            <w:pPr>
              <w:pStyle w:val="SingleSpacing"/>
              <w:spacing w:line="240" w:lineRule="auto"/>
              <w:rPr>
                <w:b/>
                <w:sz w:val="24"/>
                <w:szCs w:val="24"/>
              </w:rPr>
            </w:pPr>
            <w:r w:rsidRPr="00BE2688">
              <w:rPr>
                <w:b/>
                <w:sz w:val="24"/>
                <w:szCs w:val="24"/>
              </w:rPr>
              <w:t>)</w:t>
            </w:r>
          </w:p>
          <w:p w14:paraId="6ADCFDEE" w14:textId="6B414754" w:rsidR="004E4C8E" w:rsidRPr="00BE2688" w:rsidRDefault="004E4C8E" w:rsidP="006E3058">
            <w:pPr>
              <w:pStyle w:val="SingleSpacing"/>
              <w:spacing w:line="240" w:lineRule="auto"/>
              <w:rPr>
                <w:b/>
                <w:sz w:val="24"/>
                <w:szCs w:val="24"/>
              </w:rPr>
            </w:pPr>
            <w:r>
              <w:rPr>
                <w:b/>
                <w:sz w:val="24"/>
                <w:szCs w:val="24"/>
              </w:rPr>
              <w:t>)</w:t>
            </w:r>
          </w:p>
        </w:tc>
        <w:tc>
          <w:tcPr>
            <w:tcW w:w="4542" w:type="dxa"/>
            <w:shd w:val="clear" w:color="auto" w:fill="auto"/>
          </w:tcPr>
          <w:p w14:paraId="3B068AD3" w14:textId="77777777" w:rsidR="00782C4F" w:rsidRPr="00BE2688" w:rsidRDefault="00782C4F" w:rsidP="006E3058">
            <w:pPr>
              <w:pStyle w:val="SingleSpacing"/>
              <w:spacing w:line="240" w:lineRule="auto"/>
              <w:rPr>
                <w:b/>
                <w:sz w:val="24"/>
                <w:szCs w:val="24"/>
              </w:rPr>
            </w:pPr>
            <w:bookmarkStart w:id="1" w:name="CaseNumber"/>
            <w:bookmarkEnd w:id="1"/>
          </w:p>
          <w:p w14:paraId="050881C5" w14:textId="788C82C7" w:rsidR="00782C4F" w:rsidRPr="00BE2688" w:rsidRDefault="00782C4F" w:rsidP="006E3058">
            <w:pPr>
              <w:pStyle w:val="SingleSpacing"/>
              <w:spacing w:line="240" w:lineRule="auto"/>
              <w:rPr>
                <w:b/>
                <w:sz w:val="24"/>
                <w:szCs w:val="24"/>
              </w:rPr>
            </w:pPr>
            <w:r>
              <w:rPr>
                <w:b/>
                <w:sz w:val="24"/>
                <w:szCs w:val="24"/>
              </w:rPr>
              <w:t xml:space="preserve">       G</w:t>
            </w:r>
            <w:r w:rsidR="00813D7C">
              <w:rPr>
                <w:b/>
                <w:sz w:val="24"/>
                <w:szCs w:val="24"/>
              </w:rPr>
              <w:t>W</w:t>
            </w:r>
            <w:r>
              <w:rPr>
                <w:b/>
                <w:sz w:val="24"/>
                <w:szCs w:val="24"/>
              </w:rPr>
              <w:t xml:space="preserve">A DOCKET </w:t>
            </w:r>
            <w:r w:rsidR="00C17241">
              <w:rPr>
                <w:b/>
                <w:sz w:val="24"/>
                <w:szCs w:val="24"/>
              </w:rPr>
              <w:t>20</w:t>
            </w:r>
            <w:r>
              <w:rPr>
                <w:b/>
                <w:sz w:val="24"/>
                <w:szCs w:val="24"/>
              </w:rPr>
              <w:t>-</w:t>
            </w:r>
            <w:r w:rsidR="00A93F09">
              <w:rPr>
                <w:b/>
                <w:sz w:val="24"/>
                <w:szCs w:val="24"/>
              </w:rPr>
              <w:t>0</w:t>
            </w:r>
            <w:r w:rsidR="00602423">
              <w:rPr>
                <w:b/>
                <w:sz w:val="24"/>
                <w:szCs w:val="24"/>
              </w:rPr>
              <w:t>4</w:t>
            </w:r>
          </w:p>
          <w:p w14:paraId="32671020" w14:textId="77777777" w:rsidR="00782C4F" w:rsidRPr="00BE2688" w:rsidRDefault="00782C4F" w:rsidP="006E3058">
            <w:pPr>
              <w:pStyle w:val="SingleSpacing"/>
              <w:spacing w:line="240" w:lineRule="auto"/>
              <w:rPr>
                <w:b/>
                <w:sz w:val="24"/>
                <w:szCs w:val="24"/>
              </w:rPr>
            </w:pPr>
          </w:p>
          <w:p w14:paraId="36E25FE3" w14:textId="77777777" w:rsidR="00782C4F" w:rsidRPr="00BE2688" w:rsidRDefault="00782C4F" w:rsidP="006E3058">
            <w:pPr>
              <w:pStyle w:val="SingleSpacing"/>
              <w:spacing w:line="240" w:lineRule="auto"/>
              <w:rPr>
                <w:b/>
                <w:sz w:val="24"/>
                <w:szCs w:val="24"/>
              </w:rPr>
            </w:pPr>
          </w:p>
          <w:p w14:paraId="25854D26" w14:textId="09B93B42" w:rsidR="00782C4F" w:rsidRPr="00BE2688" w:rsidRDefault="00782C4F" w:rsidP="006E3058">
            <w:pPr>
              <w:pStyle w:val="SingleSpacing"/>
              <w:spacing w:line="240" w:lineRule="auto"/>
              <w:rPr>
                <w:b/>
                <w:sz w:val="24"/>
                <w:szCs w:val="24"/>
              </w:rPr>
            </w:pPr>
            <w:r>
              <w:rPr>
                <w:b/>
                <w:sz w:val="24"/>
                <w:szCs w:val="24"/>
              </w:rPr>
              <w:t xml:space="preserve">       PUC COUNSEL REPORT</w:t>
            </w:r>
          </w:p>
        </w:tc>
      </w:tr>
    </w:tbl>
    <w:p w14:paraId="03994488" w14:textId="77777777" w:rsidR="00EE1CC5" w:rsidRDefault="00EE1CC5" w:rsidP="006E3058">
      <w:pPr>
        <w:spacing w:line="240" w:lineRule="auto"/>
        <w:jc w:val="center"/>
        <w:rPr>
          <w:b/>
          <w:sz w:val="24"/>
          <w:szCs w:val="24"/>
          <w:u w:val="single"/>
        </w:rPr>
      </w:pPr>
    </w:p>
    <w:p w14:paraId="24B68A7A" w14:textId="77777777" w:rsidR="00A32DA2" w:rsidRDefault="00A32DA2" w:rsidP="006E3058">
      <w:pPr>
        <w:spacing w:line="240" w:lineRule="auto"/>
        <w:jc w:val="center"/>
        <w:rPr>
          <w:b/>
          <w:sz w:val="24"/>
          <w:szCs w:val="24"/>
          <w:u w:val="single"/>
        </w:rPr>
      </w:pPr>
    </w:p>
    <w:p w14:paraId="29E6CB95" w14:textId="5821D35D" w:rsidR="00782C4F" w:rsidRPr="00BE2688" w:rsidRDefault="00782C4F" w:rsidP="006E3058">
      <w:pPr>
        <w:spacing w:line="240" w:lineRule="auto"/>
        <w:jc w:val="center"/>
        <w:rPr>
          <w:b/>
          <w:sz w:val="24"/>
          <w:szCs w:val="24"/>
          <w:u w:val="single"/>
        </w:rPr>
      </w:pPr>
      <w:r w:rsidRPr="00BE2688">
        <w:rPr>
          <w:b/>
          <w:sz w:val="24"/>
          <w:szCs w:val="24"/>
          <w:u w:val="single"/>
        </w:rPr>
        <w:t>INTRODUCTION</w:t>
      </w:r>
    </w:p>
    <w:p w14:paraId="161CD31F" w14:textId="77777777" w:rsidR="00782C4F" w:rsidRDefault="00782C4F" w:rsidP="006E3058">
      <w:pPr>
        <w:spacing w:line="240" w:lineRule="auto"/>
        <w:ind w:left="432" w:hanging="432"/>
        <w:rPr>
          <w:sz w:val="24"/>
          <w:szCs w:val="24"/>
        </w:rPr>
      </w:pPr>
    </w:p>
    <w:p w14:paraId="5C6F867D" w14:textId="522AA1C1" w:rsidR="00782C4F" w:rsidRDefault="00ED0DCC" w:rsidP="006E3058">
      <w:pPr>
        <w:spacing w:line="240" w:lineRule="auto"/>
        <w:ind w:left="432" w:hanging="432"/>
        <w:rPr>
          <w:sz w:val="24"/>
          <w:szCs w:val="24"/>
        </w:rPr>
      </w:pPr>
      <w:r w:rsidRPr="00ED0DCC">
        <w:rPr>
          <w:sz w:val="24"/>
          <w:szCs w:val="24"/>
        </w:rPr>
        <w:t>1.</w:t>
      </w:r>
      <w:r>
        <w:rPr>
          <w:sz w:val="24"/>
          <w:szCs w:val="24"/>
        </w:rPr>
        <w:tab/>
      </w:r>
      <w:r w:rsidR="00782C4F" w:rsidRPr="00ED0DCC">
        <w:rPr>
          <w:sz w:val="24"/>
          <w:szCs w:val="24"/>
        </w:rPr>
        <w:t xml:space="preserve">This matter </w:t>
      </w:r>
      <w:r w:rsidR="008F5730">
        <w:rPr>
          <w:sz w:val="24"/>
          <w:szCs w:val="24"/>
        </w:rPr>
        <w:t xml:space="preserve">originally came before </w:t>
      </w:r>
      <w:r w:rsidR="00782C4F" w:rsidRPr="00ED0DCC">
        <w:rPr>
          <w:sz w:val="24"/>
          <w:szCs w:val="24"/>
        </w:rPr>
        <w:t xml:space="preserve">the Guam Public Utilities Commission [“PUC”] </w:t>
      </w:r>
      <w:r w:rsidR="00BE4AD1">
        <w:rPr>
          <w:sz w:val="24"/>
          <w:szCs w:val="24"/>
        </w:rPr>
        <w:t xml:space="preserve">on March 26, 2020 </w:t>
      </w:r>
      <w:r w:rsidR="00813D7C">
        <w:rPr>
          <w:sz w:val="24"/>
          <w:szCs w:val="24"/>
        </w:rPr>
        <w:t>pursuant</w:t>
      </w:r>
      <w:r w:rsidR="00782C4F" w:rsidRPr="00ED0DCC">
        <w:rPr>
          <w:sz w:val="24"/>
          <w:szCs w:val="24"/>
        </w:rPr>
        <w:t xml:space="preserve"> the Guam </w:t>
      </w:r>
      <w:r w:rsidR="00813D7C">
        <w:rPr>
          <w:sz w:val="24"/>
          <w:szCs w:val="24"/>
        </w:rPr>
        <w:t xml:space="preserve">Waterworks </w:t>
      </w:r>
      <w:r w:rsidR="00782C4F" w:rsidRPr="00ED0DCC">
        <w:rPr>
          <w:sz w:val="24"/>
          <w:szCs w:val="24"/>
        </w:rPr>
        <w:t>Authority</w:t>
      </w:r>
      <w:r w:rsidR="00813D7C">
        <w:rPr>
          <w:sz w:val="24"/>
          <w:szCs w:val="24"/>
        </w:rPr>
        <w:t>’s</w:t>
      </w:r>
      <w:r w:rsidR="00782C4F" w:rsidRPr="00ED0DCC">
        <w:rPr>
          <w:sz w:val="24"/>
          <w:szCs w:val="24"/>
        </w:rPr>
        <w:t xml:space="preserve"> [“G</w:t>
      </w:r>
      <w:r w:rsidR="00813D7C">
        <w:rPr>
          <w:sz w:val="24"/>
          <w:szCs w:val="24"/>
        </w:rPr>
        <w:t>W</w:t>
      </w:r>
      <w:r w:rsidR="00782C4F" w:rsidRPr="00ED0DCC">
        <w:rPr>
          <w:sz w:val="24"/>
          <w:szCs w:val="24"/>
        </w:rPr>
        <w:t>A”]</w:t>
      </w:r>
      <w:r w:rsidR="008F5730">
        <w:rPr>
          <w:sz w:val="24"/>
          <w:szCs w:val="24"/>
        </w:rPr>
        <w:t xml:space="preserve"> </w:t>
      </w:r>
      <w:r w:rsidR="00782C4F" w:rsidRPr="00ED0DCC">
        <w:rPr>
          <w:sz w:val="24"/>
          <w:szCs w:val="24"/>
        </w:rPr>
        <w:t xml:space="preserve">Petition for </w:t>
      </w:r>
      <w:r w:rsidR="0077191B">
        <w:rPr>
          <w:sz w:val="24"/>
          <w:szCs w:val="24"/>
        </w:rPr>
        <w:t>A</w:t>
      </w:r>
      <w:r w:rsidR="00782C4F" w:rsidRPr="00ED0DCC">
        <w:rPr>
          <w:sz w:val="24"/>
          <w:szCs w:val="24"/>
        </w:rPr>
        <w:t>pprov</w:t>
      </w:r>
      <w:r w:rsidR="00602423">
        <w:rPr>
          <w:sz w:val="24"/>
          <w:szCs w:val="24"/>
        </w:rPr>
        <w:t>al of GWA’s Enterprise Resource Planning System Upgrade Under the Contract Review Protocol</w:t>
      </w:r>
      <w:r w:rsidR="00782C4F" w:rsidRPr="00ED0DCC">
        <w:rPr>
          <w:sz w:val="24"/>
          <w:szCs w:val="24"/>
        </w:rPr>
        <w:t>.</w:t>
      </w:r>
      <w:r w:rsidR="00782C4F">
        <w:rPr>
          <w:rStyle w:val="FootnoteReference"/>
          <w:sz w:val="24"/>
          <w:szCs w:val="24"/>
        </w:rPr>
        <w:footnoteReference w:id="1"/>
      </w:r>
      <w:r w:rsidR="00BE4AD1">
        <w:rPr>
          <w:sz w:val="24"/>
          <w:szCs w:val="24"/>
        </w:rPr>
        <w:t xml:space="preserve">  However, at that meeting, the only three out of five Commissioner’s present at that meeting  voted to approve the petition resulting in its denial as a result of its failure to garner the necessary four votes for approval.  </w:t>
      </w:r>
    </w:p>
    <w:p w14:paraId="5A474F8D" w14:textId="7CC3A90A" w:rsidR="00A32DA2" w:rsidRDefault="00A32DA2" w:rsidP="006E3058">
      <w:pPr>
        <w:spacing w:line="240" w:lineRule="auto"/>
        <w:ind w:left="432" w:hanging="432"/>
        <w:rPr>
          <w:sz w:val="24"/>
          <w:szCs w:val="24"/>
        </w:rPr>
      </w:pPr>
    </w:p>
    <w:p w14:paraId="6915B450" w14:textId="4C888FAD" w:rsidR="00006D07" w:rsidRDefault="00A32DA2" w:rsidP="006E3058">
      <w:pPr>
        <w:spacing w:line="240" w:lineRule="auto"/>
        <w:ind w:left="432" w:hanging="432"/>
        <w:rPr>
          <w:sz w:val="24"/>
          <w:szCs w:val="24"/>
        </w:rPr>
      </w:pPr>
      <w:r>
        <w:rPr>
          <w:sz w:val="24"/>
          <w:szCs w:val="24"/>
        </w:rPr>
        <w:t>2.</w:t>
      </w:r>
      <w:r>
        <w:rPr>
          <w:sz w:val="24"/>
          <w:szCs w:val="24"/>
        </w:rPr>
        <w:tab/>
      </w:r>
      <w:r w:rsidR="005C327A">
        <w:rPr>
          <w:sz w:val="24"/>
          <w:szCs w:val="24"/>
        </w:rPr>
        <w:t>During the March 26, 2020</w:t>
      </w:r>
      <w:r w:rsidR="008D5312">
        <w:rPr>
          <w:sz w:val="24"/>
          <w:szCs w:val="24"/>
        </w:rPr>
        <w:t xml:space="preserve">, </w:t>
      </w:r>
      <w:r w:rsidR="00BE4AD1" w:rsidRPr="00BE4AD1">
        <w:rPr>
          <w:sz w:val="24"/>
          <w:szCs w:val="24"/>
        </w:rPr>
        <w:t xml:space="preserve">GWA was </w:t>
      </w:r>
      <w:r w:rsidR="008D5312">
        <w:rPr>
          <w:sz w:val="24"/>
          <w:szCs w:val="24"/>
        </w:rPr>
        <w:t>informed</w:t>
      </w:r>
      <w:r w:rsidR="00BE4AD1" w:rsidRPr="00BE4AD1">
        <w:rPr>
          <w:sz w:val="24"/>
          <w:szCs w:val="24"/>
        </w:rPr>
        <w:t xml:space="preserve"> that it could bring this matter up again at the PUC’s next meeting</w:t>
      </w:r>
      <w:r w:rsidR="00BE4AD1">
        <w:rPr>
          <w:sz w:val="24"/>
          <w:szCs w:val="24"/>
        </w:rPr>
        <w:t xml:space="preserve"> and</w:t>
      </w:r>
      <w:r w:rsidR="00BE4AD1" w:rsidRPr="00BE4AD1">
        <w:rPr>
          <w:sz w:val="24"/>
          <w:szCs w:val="24"/>
        </w:rPr>
        <w:t xml:space="preserve"> </w:t>
      </w:r>
      <w:r>
        <w:rPr>
          <w:sz w:val="24"/>
          <w:szCs w:val="24"/>
        </w:rPr>
        <w:t xml:space="preserve">GWA </w:t>
      </w:r>
      <w:r w:rsidR="00BE4AD1">
        <w:rPr>
          <w:sz w:val="24"/>
          <w:szCs w:val="24"/>
        </w:rPr>
        <w:t xml:space="preserve">filed a supplemental brief in support of its original Petition and GWA continues to </w:t>
      </w:r>
      <w:r>
        <w:rPr>
          <w:sz w:val="24"/>
          <w:szCs w:val="24"/>
        </w:rPr>
        <w:t xml:space="preserve">request that the PUC </w:t>
      </w:r>
      <w:r w:rsidR="005B2528">
        <w:rPr>
          <w:sz w:val="24"/>
          <w:szCs w:val="24"/>
        </w:rPr>
        <w:t>approve</w:t>
      </w:r>
      <w:r w:rsidR="004E4C8E">
        <w:rPr>
          <w:sz w:val="24"/>
          <w:szCs w:val="24"/>
        </w:rPr>
        <w:t xml:space="preserve"> GWA</w:t>
      </w:r>
      <w:r w:rsidR="00B00028">
        <w:rPr>
          <w:sz w:val="24"/>
          <w:szCs w:val="24"/>
        </w:rPr>
        <w:t>’s</w:t>
      </w:r>
      <w:r w:rsidR="004E4C8E">
        <w:rPr>
          <w:sz w:val="24"/>
          <w:szCs w:val="24"/>
        </w:rPr>
        <w:t xml:space="preserve"> </w:t>
      </w:r>
      <w:r w:rsidR="00602423">
        <w:rPr>
          <w:sz w:val="24"/>
          <w:szCs w:val="24"/>
        </w:rPr>
        <w:t>contract with Red Rock Consulting Pty. Ltd. [DXC Red Rock] for the upgrade of GWA’s Enterprise Resource Planning System [ERP]</w:t>
      </w:r>
      <w:r w:rsidR="007E1775">
        <w:rPr>
          <w:sz w:val="24"/>
          <w:szCs w:val="24"/>
        </w:rPr>
        <w:t>.</w:t>
      </w:r>
      <w:r w:rsidR="00BE4AD1">
        <w:rPr>
          <w:rStyle w:val="FootnoteReference"/>
          <w:sz w:val="24"/>
          <w:szCs w:val="24"/>
        </w:rPr>
        <w:footnoteReference w:id="2"/>
      </w:r>
    </w:p>
    <w:p w14:paraId="2DFCC06F" w14:textId="546F1AF8" w:rsidR="005C327A" w:rsidRDefault="005C327A" w:rsidP="006E3058">
      <w:pPr>
        <w:spacing w:line="240" w:lineRule="auto"/>
        <w:ind w:left="432" w:hanging="432"/>
        <w:rPr>
          <w:sz w:val="24"/>
          <w:szCs w:val="24"/>
        </w:rPr>
      </w:pPr>
    </w:p>
    <w:p w14:paraId="456A8239" w14:textId="6A63E328" w:rsidR="005C327A" w:rsidRDefault="005C327A" w:rsidP="006E3058">
      <w:pPr>
        <w:spacing w:line="240" w:lineRule="auto"/>
        <w:ind w:left="432" w:hanging="432"/>
        <w:rPr>
          <w:sz w:val="24"/>
          <w:szCs w:val="24"/>
        </w:rPr>
      </w:pPr>
      <w:r>
        <w:rPr>
          <w:sz w:val="24"/>
          <w:szCs w:val="24"/>
        </w:rPr>
        <w:t>3.    GWA’s supplemental brief in this matter was discussed at the PUC’s May 28, 2020 meting and the PUC voted in favor of reconsidering this matter at its June 25, 2020 meeting.   Accordingly, GWA filed its Motion to Reconsider on June 5, 2020.</w:t>
      </w:r>
      <w:r w:rsidR="00B61244">
        <w:rPr>
          <w:rStyle w:val="FootnoteReference"/>
          <w:sz w:val="24"/>
          <w:szCs w:val="24"/>
        </w:rPr>
        <w:footnoteReference w:id="3"/>
      </w:r>
    </w:p>
    <w:p w14:paraId="5559EFED" w14:textId="77777777" w:rsidR="008D5312" w:rsidRPr="00782C4F" w:rsidRDefault="008D5312" w:rsidP="006E3058">
      <w:pPr>
        <w:spacing w:line="240" w:lineRule="auto"/>
        <w:ind w:left="432" w:hanging="432"/>
        <w:rPr>
          <w:sz w:val="24"/>
          <w:szCs w:val="24"/>
        </w:rPr>
      </w:pPr>
    </w:p>
    <w:p w14:paraId="3D874EDD" w14:textId="77777777" w:rsidR="00782C4F" w:rsidRDefault="00782C4F" w:rsidP="006E3058">
      <w:pPr>
        <w:spacing w:line="240" w:lineRule="auto"/>
        <w:ind w:left="432" w:hanging="432"/>
        <w:jc w:val="center"/>
        <w:rPr>
          <w:b/>
          <w:sz w:val="24"/>
          <w:szCs w:val="24"/>
          <w:u w:val="single"/>
        </w:rPr>
      </w:pPr>
    </w:p>
    <w:p w14:paraId="0AE94BE1" w14:textId="77777777" w:rsidR="00782C4F" w:rsidRDefault="00782C4F" w:rsidP="006E3058">
      <w:pPr>
        <w:spacing w:line="240" w:lineRule="auto"/>
        <w:ind w:left="432" w:hanging="432"/>
        <w:jc w:val="center"/>
        <w:rPr>
          <w:b/>
          <w:sz w:val="24"/>
          <w:szCs w:val="24"/>
          <w:u w:val="single"/>
        </w:rPr>
      </w:pPr>
      <w:r>
        <w:rPr>
          <w:b/>
          <w:sz w:val="24"/>
          <w:szCs w:val="24"/>
          <w:u w:val="single"/>
        </w:rPr>
        <w:t>BACKGROUND</w:t>
      </w:r>
    </w:p>
    <w:p w14:paraId="3310B72D" w14:textId="77777777" w:rsidR="00782C4F" w:rsidRDefault="00782C4F" w:rsidP="006E3058">
      <w:pPr>
        <w:spacing w:line="240" w:lineRule="auto"/>
        <w:ind w:left="432" w:hanging="432"/>
        <w:rPr>
          <w:sz w:val="24"/>
          <w:szCs w:val="24"/>
        </w:rPr>
      </w:pPr>
    </w:p>
    <w:p w14:paraId="6BD1A84D" w14:textId="6BF36871" w:rsidR="00287D89" w:rsidRDefault="00A32DA2" w:rsidP="006E3058">
      <w:pPr>
        <w:spacing w:line="240" w:lineRule="auto"/>
        <w:ind w:left="432" w:hanging="432"/>
        <w:rPr>
          <w:sz w:val="24"/>
          <w:szCs w:val="24"/>
        </w:rPr>
      </w:pPr>
      <w:r>
        <w:rPr>
          <w:sz w:val="24"/>
          <w:szCs w:val="24"/>
        </w:rPr>
        <w:t>3</w:t>
      </w:r>
      <w:r w:rsidR="00782C4F" w:rsidRPr="00782C4F">
        <w:rPr>
          <w:sz w:val="24"/>
          <w:szCs w:val="24"/>
        </w:rPr>
        <w:t>.</w:t>
      </w:r>
      <w:r w:rsidR="00782C4F">
        <w:rPr>
          <w:sz w:val="24"/>
          <w:szCs w:val="24"/>
        </w:rPr>
        <w:tab/>
      </w:r>
      <w:r w:rsidR="008D5312">
        <w:rPr>
          <w:sz w:val="24"/>
          <w:szCs w:val="24"/>
        </w:rPr>
        <w:t>As previously stated, s</w:t>
      </w:r>
      <w:r w:rsidR="00A805FE">
        <w:rPr>
          <w:sz w:val="24"/>
          <w:szCs w:val="24"/>
        </w:rPr>
        <w:t xml:space="preserve">ince 1998, GWA has used its ERP software system to manage its accounting, procurement, and human resource activities and the version of this </w:t>
      </w:r>
      <w:r w:rsidR="00A805FE">
        <w:rPr>
          <w:sz w:val="24"/>
          <w:szCs w:val="24"/>
        </w:rPr>
        <w:lastRenderedPageBreak/>
        <w:t>software used by GWA is JDE World ERP v9.3.  This version of the ERP software is one version behind the current version and will not be supported or upgraded by the vendor after March, 2020.  Further, GWA employees have had to develop and implement manual workarounds and stand-alone applications to perform tasks and create reports on its increasingly inefficient and outdated ERP software</w:t>
      </w:r>
      <w:r w:rsidR="00676F5B">
        <w:rPr>
          <w:sz w:val="24"/>
          <w:szCs w:val="24"/>
        </w:rPr>
        <w:t>.</w:t>
      </w:r>
      <w:r w:rsidR="00676F5B">
        <w:rPr>
          <w:rStyle w:val="FootnoteReference"/>
          <w:sz w:val="24"/>
          <w:szCs w:val="24"/>
        </w:rPr>
        <w:footnoteReference w:id="4"/>
      </w:r>
      <w:r w:rsidR="00A805FE">
        <w:rPr>
          <w:sz w:val="24"/>
          <w:szCs w:val="24"/>
        </w:rPr>
        <w:t xml:space="preserve">    </w:t>
      </w:r>
    </w:p>
    <w:p w14:paraId="5C10E8DB" w14:textId="77777777" w:rsidR="00287D89" w:rsidRDefault="00287D89" w:rsidP="006E3058">
      <w:pPr>
        <w:spacing w:line="240" w:lineRule="auto"/>
        <w:ind w:left="432" w:hanging="432"/>
        <w:rPr>
          <w:sz w:val="24"/>
          <w:szCs w:val="24"/>
        </w:rPr>
      </w:pPr>
    </w:p>
    <w:p w14:paraId="23501B48" w14:textId="559C3A25" w:rsidR="00782C4F" w:rsidRDefault="00287D89" w:rsidP="006E3058">
      <w:pPr>
        <w:spacing w:line="240" w:lineRule="auto"/>
        <w:ind w:left="432" w:hanging="432"/>
        <w:rPr>
          <w:sz w:val="24"/>
          <w:szCs w:val="24"/>
        </w:rPr>
      </w:pPr>
      <w:r>
        <w:rPr>
          <w:sz w:val="24"/>
          <w:szCs w:val="24"/>
        </w:rPr>
        <w:t>4.</w:t>
      </w:r>
      <w:r>
        <w:rPr>
          <w:sz w:val="24"/>
          <w:szCs w:val="24"/>
        </w:rPr>
        <w:tab/>
      </w:r>
      <w:r w:rsidR="008D5312">
        <w:rPr>
          <w:sz w:val="24"/>
          <w:szCs w:val="24"/>
        </w:rPr>
        <w:t xml:space="preserve">As previously stated, </w:t>
      </w:r>
      <w:r w:rsidR="00B27B06">
        <w:rPr>
          <w:sz w:val="24"/>
          <w:szCs w:val="24"/>
        </w:rPr>
        <w:t xml:space="preserve">GWA seeks to migrate its existing ERP software to a new, modern, browser-based digital platform called </w:t>
      </w:r>
      <w:bookmarkStart w:id="2" w:name="_Hlk35163002"/>
      <w:r w:rsidR="00B27B06">
        <w:rPr>
          <w:sz w:val="24"/>
          <w:szCs w:val="24"/>
        </w:rPr>
        <w:t>JDE E1</w:t>
      </w:r>
      <w:bookmarkEnd w:id="2"/>
      <w:r w:rsidR="00B27B06">
        <w:rPr>
          <w:sz w:val="24"/>
          <w:szCs w:val="24"/>
        </w:rPr>
        <w:t xml:space="preserve">.  Oracle is the only software company offering the JDE E1 software and </w:t>
      </w:r>
      <w:bookmarkStart w:id="3" w:name="_Hlk35089016"/>
      <w:r w:rsidR="00B27B06">
        <w:rPr>
          <w:sz w:val="24"/>
          <w:szCs w:val="24"/>
        </w:rPr>
        <w:t xml:space="preserve">DXC Red Rock </w:t>
      </w:r>
      <w:bookmarkEnd w:id="3"/>
      <w:r w:rsidR="00B27B06">
        <w:rPr>
          <w:sz w:val="24"/>
          <w:szCs w:val="24"/>
        </w:rPr>
        <w:t>is the only contractor with a proprietary pre-built JDE E1 configuration and implementation plan for engineering and construction firms in the Western Pacific Region</w:t>
      </w:r>
      <w:r w:rsidR="00BA38F7">
        <w:rPr>
          <w:sz w:val="24"/>
          <w:szCs w:val="24"/>
        </w:rPr>
        <w:t>.</w:t>
      </w:r>
      <w:r w:rsidR="00BA38F7">
        <w:rPr>
          <w:rStyle w:val="FootnoteReference"/>
          <w:sz w:val="24"/>
          <w:szCs w:val="24"/>
        </w:rPr>
        <w:footnoteReference w:id="5"/>
      </w:r>
    </w:p>
    <w:p w14:paraId="53335C24" w14:textId="77777777" w:rsidR="00782C4F" w:rsidRDefault="00782C4F" w:rsidP="006E3058">
      <w:pPr>
        <w:spacing w:line="240" w:lineRule="auto"/>
        <w:ind w:left="432" w:hanging="432"/>
        <w:rPr>
          <w:sz w:val="24"/>
          <w:szCs w:val="24"/>
        </w:rPr>
      </w:pPr>
    </w:p>
    <w:p w14:paraId="2EA97F06" w14:textId="1D3F9976" w:rsidR="00674DC9" w:rsidRDefault="007C4933" w:rsidP="006E3058">
      <w:pPr>
        <w:spacing w:line="240" w:lineRule="auto"/>
        <w:ind w:left="432" w:hanging="432"/>
        <w:rPr>
          <w:sz w:val="24"/>
          <w:szCs w:val="24"/>
        </w:rPr>
      </w:pPr>
      <w:r>
        <w:rPr>
          <w:sz w:val="24"/>
          <w:szCs w:val="24"/>
        </w:rPr>
        <w:t>5</w:t>
      </w:r>
      <w:r w:rsidR="00782C4F">
        <w:rPr>
          <w:sz w:val="24"/>
          <w:szCs w:val="24"/>
        </w:rPr>
        <w:t>.</w:t>
      </w:r>
      <w:r w:rsidR="002518EE">
        <w:rPr>
          <w:sz w:val="24"/>
          <w:szCs w:val="24"/>
        </w:rPr>
        <w:tab/>
      </w:r>
      <w:r w:rsidR="00BA38F7">
        <w:rPr>
          <w:sz w:val="24"/>
          <w:szCs w:val="24"/>
        </w:rPr>
        <w:t>A</w:t>
      </w:r>
      <w:r w:rsidR="008D5312">
        <w:rPr>
          <w:sz w:val="24"/>
          <w:szCs w:val="24"/>
        </w:rPr>
        <w:t>s previously stated</w:t>
      </w:r>
      <w:r w:rsidR="00BA38F7">
        <w:rPr>
          <w:sz w:val="24"/>
          <w:szCs w:val="24"/>
        </w:rPr>
        <w:t xml:space="preserve">, </w:t>
      </w:r>
      <w:r w:rsidR="00F81100">
        <w:rPr>
          <w:sz w:val="24"/>
          <w:szCs w:val="24"/>
        </w:rPr>
        <w:t>on December 5, 2018, GWA issued a sole source procurement awarding the contract for the discovery phase of its JDE E1 upgrade to DXC Red Rock.  The discovery phase of the upgrade included defining the scope for a technical and transformational upgrade and it had several key project planning deliverables including pricing</w:t>
      </w:r>
      <w:r w:rsidR="00BA38F7">
        <w:rPr>
          <w:sz w:val="24"/>
          <w:szCs w:val="24"/>
        </w:rPr>
        <w:t>.</w:t>
      </w:r>
      <w:r w:rsidR="00BA38F7">
        <w:rPr>
          <w:rStyle w:val="FootnoteReference"/>
          <w:sz w:val="24"/>
          <w:szCs w:val="24"/>
        </w:rPr>
        <w:footnoteReference w:id="6"/>
      </w:r>
      <w:r w:rsidR="00BA38F7">
        <w:rPr>
          <w:sz w:val="24"/>
          <w:szCs w:val="24"/>
        </w:rPr>
        <w:t xml:space="preserve">  </w:t>
      </w:r>
      <w:r w:rsidR="005820AB">
        <w:rPr>
          <w:sz w:val="24"/>
          <w:szCs w:val="24"/>
        </w:rPr>
        <w:t xml:space="preserve">DXC Red Rock subsequently </w:t>
      </w:r>
      <w:r w:rsidR="00341C71">
        <w:rPr>
          <w:sz w:val="24"/>
          <w:szCs w:val="24"/>
        </w:rPr>
        <w:t xml:space="preserve">submitted proposal for a three year contract with implementation of the upgrade in the first year, and recurring licensure costs and managed services for all three years with a total contract </w:t>
      </w:r>
      <w:r w:rsidR="005820AB">
        <w:rPr>
          <w:sz w:val="24"/>
          <w:szCs w:val="24"/>
        </w:rPr>
        <w:t>estimated the cos</w:t>
      </w:r>
      <w:r w:rsidR="00341C71">
        <w:rPr>
          <w:sz w:val="24"/>
          <w:szCs w:val="24"/>
        </w:rPr>
        <w:t xml:space="preserve">t of </w:t>
      </w:r>
      <w:r w:rsidR="005820AB">
        <w:rPr>
          <w:sz w:val="24"/>
          <w:szCs w:val="24"/>
        </w:rPr>
        <w:t xml:space="preserve"> $5,286,385.</w:t>
      </w:r>
      <w:r w:rsidR="005820AB">
        <w:rPr>
          <w:rStyle w:val="FootnoteReference"/>
          <w:sz w:val="24"/>
          <w:szCs w:val="24"/>
        </w:rPr>
        <w:footnoteReference w:id="7"/>
      </w:r>
      <w:r w:rsidR="005820AB">
        <w:rPr>
          <w:sz w:val="24"/>
          <w:szCs w:val="24"/>
        </w:rPr>
        <w:t xml:space="preserve">  </w:t>
      </w:r>
    </w:p>
    <w:p w14:paraId="110919E8" w14:textId="1D5DC4BB" w:rsidR="00674DC9" w:rsidRDefault="00674DC9" w:rsidP="006E3058">
      <w:pPr>
        <w:spacing w:line="240" w:lineRule="auto"/>
        <w:ind w:left="432" w:hanging="432"/>
        <w:rPr>
          <w:sz w:val="24"/>
          <w:szCs w:val="24"/>
        </w:rPr>
      </w:pPr>
    </w:p>
    <w:p w14:paraId="261CF4ED" w14:textId="78CD3DEA" w:rsidR="00DB6823" w:rsidRDefault="007C4933" w:rsidP="006D170D">
      <w:pPr>
        <w:spacing w:line="240" w:lineRule="auto"/>
        <w:ind w:left="432" w:hanging="432"/>
        <w:rPr>
          <w:sz w:val="24"/>
          <w:szCs w:val="24"/>
        </w:rPr>
      </w:pPr>
      <w:r>
        <w:rPr>
          <w:sz w:val="24"/>
          <w:szCs w:val="24"/>
        </w:rPr>
        <w:t>6</w:t>
      </w:r>
      <w:r w:rsidR="00312015">
        <w:rPr>
          <w:sz w:val="24"/>
          <w:szCs w:val="24"/>
        </w:rPr>
        <w:t xml:space="preserve">.  </w:t>
      </w:r>
      <w:r w:rsidR="00312015">
        <w:rPr>
          <w:sz w:val="24"/>
          <w:szCs w:val="24"/>
        </w:rPr>
        <w:tab/>
      </w:r>
      <w:r w:rsidR="008D5312">
        <w:rPr>
          <w:sz w:val="24"/>
          <w:szCs w:val="24"/>
        </w:rPr>
        <w:t>As previously stated, o</w:t>
      </w:r>
      <w:r w:rsidR="00EA583E">
        <w:rPr>
          <w:sz w:val="24"/>
          <w:szCs w:val="24"/>
        </w:rPr>
        <w:t xml:space="preserve">n </w:t>
      </w:r>
      <w:r w:rsidR="005820AB">
        <w:rPr>
          <w:sz w:val="24"/>
          <w:szCs w:val="24"/>
        </w:rPr>
        <w:t>January 21, 2020, GWA issued a second sole source procurement awarding the contract for the JDE E1 upgrade to DXC Red Rock.</w:t>
      </w:r>
      <w:r w:rsidR="005820AB">
        <w:rPr>
          <w:rStyle w:val="FootnoteReference"/>
          <w:sz w:val="24"/>
          <w:szCs w:val="24"/>
        </w:rPr>
        <w:footnoteReference w:id="8"/>
      </w:r>
      <w:r w:rsidR="00B00077">
        <w:rPr>
          <w:sz w:val="24"/>
          <w:szCs w:val="24"/>
        </w:rPr>
        <w:t xml:space="preserve"> On February 21, 2020, the Consolidated Commission on Utilities [CCU] approved GWA Resolution No. 13-FY2020 which authorized GWA to enter into a contract with DXC Red Rock for the JDE E1 upgrade for the amount of $5,286,385 and to seek the PUC’s approval of the contract.</w:t>
      </w:r>
      <w:r w:rsidR="00B00077">
        <w:rPr>
          <w:rStyle w:val="FootnoteReference"/>
          <w:sz w:val="24"/>
          <w:szCs w:val="24"/>
        </w:rPr>
        <w:footnoteReference w:id="9"/>
      </w:r>
    </w:p>
    <w:p w14:paraId="74CD3D81" w14:textId="00BD75AE" w:rsidR="008D5312" w:rsidRDefault="008D5312" w:rsidP="006D170D">
      <w:pPr>
        <w:spacing w:line="240" w:lineRule="auto"/>
        <w:ind w:left="432" w:hanging="432"/>
        <w:rPr>
          <w:sz w:val="24"/>
          <w:szCs w:val="24"/>
        </w:rPr>
      </w:pPr>
    </w:p>
    <w:p w14:paraId="64299693" w14:textId="77777777" w:rsidR="00820FF4" w:rsidRDefault="008D5312" w:rsidP="006D170D">
      <w:pPr>
        <w:spacing w:line="240" w:lineRule="auto"/>
        <w:ind w:left="432" w:hanging="432"/>
        <w:rPr>
          <w:sz w:val="24"/>
          <w:szCs w:val="24"/>
        </w:rPr>
      </w:pPr>
      <w:r>
        <w:rPr>
          <w:sz w:val="24"/>
          <w:szCs w:val="24"/>
        </w:rPr>
        <w:t>7.</w:t>
      </w:r>
      <w:r>
        <w:rPr>
          <w:sz w:val="24"/>
          <w:szCs w:val="24"/>
        </w:rPr>
        <w:tab/>
        <w:t xml:space="preserve">PUC legal counsel reviewed GWA’s original petition and </w:t>
      </w:r>
      <w:r w:rsidR="002E1A5A">
        <w:rPr>
          <w:sz w:val="24"/>
          <w:szCs w:val="24"/>
        </w:rPr>
        <w:t>concluded that:  (1) T</w:t>
      </w:r>
      <w:r w:rsidR="002E1A5A" w:rsidRPr="002E1A5A">
        <w:rPr>
          <w:sz w:val="24"/>
          <w:szCs w:val="24"/>
        </w:rPr>
        <w:t>he $5,286,385 cost for GWA’s JDE E1 upgrade contract with DXC Red Rock requires PUC approval because the total cost of the contract exceeds the $1,000,000 contract review amount</w:t>
      </w:r>
      <w:r w:rsidR="002E1A5A">
        <w:rPr>
          <w:sz w:val="24"/>
          <w:szCs w:val="24"/>
        </w:rPr>
        <w:t xml:space="preserve">; (2) The $5,286,385 contract cost is reasonable; (3) GWA’s use of the </w:t>
      </w:r>
      <w:r w:rsidR="002E1A5A">
        <w:rPr>
          <w:sz w:val="24"/>
          <w:szCs w:val="24"/>
        </w:rPr>
        <w:lastRenderedPageBreak/>
        <w:t>sole source procurement method is prudent because there is only one source for the supply and because the compatibility of equipment, accessories, and replacement parts is of paramount importance</w:t>
      </w:r>
      <w:r w:rsidR="002E1A5A" w:rsidRPr="002E1A5A">
        <w:rPr>
          <w:sz w:val="24"/>
          <w:szCs w:val="24"/>
        </w:rPr>
        <w:t xml:space="preserve"> </w:t>
      </w:r>
      <w:r w:rsidR="002E1A5A">
        <w:rPr>
          <w:sz w:val="24"/>
          <w:szCs w:val="24"/>
        </w:rPr>
        <w:t xml:space="preserve">to GWA because no other digital platform or software system will be suitable or acceptable to meet its needs; and (4) </w:t>
      </w:r>
      <w:r w:rsidR="00820FF4">
        <w:rPr>
          <w:sz w:val="24"/>
          <w:szCs w:val="24"/>
        </w:rPr>
        <w:t>GWA’s upgrade to the JDE E1 digital platform is necessary due to GWA’s existing software’s age, increasing inefficiency, and the withdrawal of technical support from its licensor.  Accordingly, PUC Counsel recommended that the PUC approve GWA’s Petition.</w:t>
      </w:r>
      <w:r w:rsidR="00820FF4">
        <w:rPr>
          <w:rStyle w:val="FootnoteReference"/>
          <w:sz w:val="24"/>
          <w:szCs w:val="24"/>
        </w:rPr>
        <w:footnoteReference w:id="10"/>
      </w:r>
      <w:r w:rsidR="00820FF4">
        <w:rPr>
          <w:sz w:val="24"/>
          <w:szCs w:val="24"/>
        </w:rPr>
        <w:t xml:space="preserve">  </w:t>
      </w:r>
    </w:p>
    <w:p w14:paraId="69809D2E" w14:textId="77777777" w:rsidR="00820FF4" w:rsidRDefault="00820FF4" w:rsidP="006D170D">
      <w:pPr>
        <w:spacing w:line="240" w:lineRule="auto"/>
        <w:ind w:left="432" w:hanging="432"/>
        <w:rPr>
          <w:sz w:val="24"/>
          <w:szCs w:val="24"/>
        </w:rPr>
      </w:pPr>
    </w:p>
    <w:p w14:paraId="491BA76C" w14:textId="77777777" w:rsidR="00851C97" w:rsidRDefault="00820FF4" w:rsidP="006D170D">
      <w:pPr>
        <w:spacing w:line="240" w:lineRule="auto"/>
        <w:ind w:left="432" w:hanging="432"/>
        <w:rPr>
          <w:sz w:val="24"/>
          <w:szCs w:val="24"/>
        </w:rPr>
      </w:pPr>
      <w:r>
        <w:rPr>
          <w:sz w:val="24"/>
          <w:szCs w:val="24"/>
        </w:rPr>
        <w:t>8.</w:t>
      </w:r>
      <w:r>
        <w:rPr>
          <w:sz w:val="24"/>
          <w:szCs w:val="24"/>
        </w:rPr>
        <w:tab/>
      </w:r>
      <w:r w:rsidR="00425201">
        <w:rPr>
          <w:sz w:val="24"/>
          <w:szCs w:val="24"/>
        </w:rPr>
        <w:t>At the March 26, 2020 meeting, questions were raised about</w:t>
      </w:r>
      <w:r w:rsidR="00851C97">
        <w:rPr>
          <w:sz w:val="24"/>
          <w:szCs w:val="24"/>
        </w:rPr>
        <w:t xml:space="preserve"> GWA’s use of the sole source procurement method to achieve its upgrade to the JDE E1 digital platform as well as the efficacy of GWA’s decision to upgrade their existing software system instead of putting the service out to bid and replacing it with an entirely new system. </w:t>
      </w:r>
    </w:p>
    <w:p w14:paraId="2E912776" w14:textId="77777777" w:rsidR="00851C97" w:rsidRDefault="00851C97" w:rsidP="006D170D">
      <w:pPr>
        <w:spacing w:line="240" w:lineRule="auto"/>
        <w:ind w:left="432" w:hanging="432"/>
        <w:rPr>
          <w:sz w:val="24"/>
          <w:szCs w:val="24"/>
        </w:rPr>
      </w:pPr>
    </w:p>
    <w:p w14:paraId="471A4207" w14:textId="3D478885" w:rsidR="009A386C" w:rsidRDefault="00851C97" w:rsidP="006D170D">
      <w:pPr>
        <w:spacing w:line="240" w:lineRule="auto"/>
        <w:ind w:left="432" w:hanging="432"/>
        <w:rPr>
          <w:sz w:val="24"/>
          <w:szCs w:val="24"/>
        </w:rPr>
      </w:pPr>
      <w:r>
        <w:rPr>
          <w:sz w:val="24"/>
          <w:szCs w:val="24"/>
        </w:rPr>
        <w:t xml:space="preserve">9.  </w:t>
      </w:r>
      <w:r>
        <w:rPr>
          <w:sz w:val="24"/>
          <w:szCs w:val="24"/>
        </w:rPr>
        <w:tab/>
        <w:t xml:space="preserve">GWA’s Supplemental Brief </w:t>
      </w:r>
      <w:r w:rsidR="0067561D">
        <w:rPr>
          <w:sz w:val="24"/>
          <w:szCs w:val="24"/>
        </w:rPr>
        <w:t xml:space="preserve">and GWA’s Motion for Reconsideration </w:t>
      </w:r>
      <w:r>
        <w:rPr>
          <w:sz w:val="24"/>
          <w:szCs w:val="24"/>
        </w:rPr>
        <w:t>seeks to answer these questions by explaining that GWA’s use of the sole source procurement method to upgrade to the JDE E1 digital platform is justified because the upgrade’s software functionality supports GWA’s business needs, the license purchase investment has already been made, and because the upgrade allows GWA to integrate its Computerized Maintenance Management System [CMMS]</w:t>
      </w:r>
      <w:r w:rsidR="001B13B7">
        <w:rPr>
          <w:sz w:val="24"/>
          <w:szCs w:val="24"/>
        </w:rPr>
        <w:t xml:space="preserve"> </w:t>
      </w:r>
      <w:r>
        <w:rPr>
          <w:sz w:val="24"/>
          <w:szCs w:val="24"/>
        </w:rPr>
        <w:t xml:space="preserve">or Asset Management software with the financial system </w:t>
      </w:r>
      <w:r w:rsidR="001B13B7">
        <w:rPr>
          <w:sz w:val="24"/>
          <w:szCs w:val="24"/>
        </w:rPr>
        <w:t>eliminating the costly integration of two different systems.</w:t>
      </w:r>
      <w:r w:rsidR="001B13B7">
        <w:rPr>
          <w:rStyle w:val="FootnoteReference"/>
          <w:sz w:val="24"/>
          <w:szCs w:val="24"/>
        </w:rPr>
        <w:footnoteReference w:id="11"/>
      </w:r>
      <w:r w:rsidR="002E1A5A" w:rsidRPr="002E1A5A">
        <w:rPr>
          <w:sz w:val="24"/>
          <w:szCs w:val="24"/>
        </w:rPr>
        <w:t xml:space="preserve">  </w:t>
      </w:r>
    </w:p>
    <w:p w14:paraId="72287257" w14:textId="77777777" w:rsidR="009A386C" w:rsidRDefault="009A386C" w:rsidP="006D170D">
      <w:pPr>
        <w:spacing w:line="240" w:lineRule="auto"/>
        <w:ind w:left="432" w:hanging="432"/>
        <w:rPr>
          <w:sz w:val="24"/>
          <w:szCs w:val="24"/>
        </w:rPr>
      </w:pPr>
    </w:p>
    <w:p w14:paraId="0D5D2139" w14:textId="6D945357" w:rsidR="009A386C" w:rsidRDefault="009A386C" w:rsidP="006D170D">
      <w:pPr>
        <w:spacing w:line="240" w:lineRule="auto"/>
        <w:ind w:left="432" w:hanging="432"/>
        <w:rPr>
          <w:sz w:val="24"/>
          <w:szCs w:val="24"/>
        </w:rPr>
      </w:pPr>
      <w:r>
        <w:rPr>
          <w:sz w:val="24"/>
          <w:szCs w:val="24"/>
        </w:rPr>
        <w:t>10.</w:t>
      </w:r>
      <w:r>
        <w:rPr>
          <w:sz w:val="24"/>
          <w:szCs w:val="24"/>
        </w:rPr>
        <w:tab/>
      </w:r>
      <w:r w:rsidR="001B13B7">
        <w:rPr>
          <w:sz w:val="24"/>
          <w:szCs w:val="24"/>
        </w:rPr>
        <w:t xml:space="preserve">GWA’s Supplemental Brief </w:t>
      </w:r>
      <w:r w:rsidR="0067561D">
        <w:rPr>
          <w:sz w:val="24"/>
          <w:szCs w:val="24"/>
        </w:rPr>
        <w:t xml:space="preserve">and GWA’s Motion for Reconsideration </w:t>
      </w:r>
      <w:r w:rsidR="001B13B7">
        <w:rPr>
          <w:sz w:val="24"/>
          <w:szCs w:val="24"/>
        </w:rPr>
        <w:t>also explain</w:t>
      </w:r>
      <w:r w:rsidR="0067561D">
        <w:rPr>
          <w:sz w:val="24"/>
          <w:szCs w:val="24"/>
        </w:rPr>
        <w:t xml:space="preserve"> </w:t>
      </w:r>
      <w:r w:rsidR="001B13B7">
        <w:rPr>
          <w:sz w:val="24"/>
          <w:szCs w:val="24"/>
        </w:rPr>
        <w:t xml:space="preserve">that GWA is unable to maintain its current system without an upgrade or replacement because:  (1) Technical support for its existing software expired in March, 2020; (2) The current process is too manual and does not provide for the traceability of source transactions and monthly management reports have to be completed off their system;   (3) Training new employees on the system’s “green screen” is difficult; (4) GWA staff are unable to work with their existing system remotely; </w:t>
      </w:r>
      <w:r>
        <w:rPr>
          <w:sz w:val="24"/>
          <w:szCs w:val="24"/>
        </w:rPr>
        <w:t xml:space="preserve"> </w:t>
      </w:r>
      <w:r w:rsidR="001B13B7">
        <w:rPr>
          <w:sz w:val="24"/>
          <w:szCs w:val="24"/>
        </w:rPr>
        <w:t>and because (5) The existing system uses an obsolete tape based back-up system.</w:t>
      </w:r>
      <w:r w:rsidR="007D6F5B">
        <w:rPr>
          <w:rStyle w:val="FootnoteReference"/>
          <w:sz w:val="24"/>
          <w:szCs w:val="24"/>
        </w:rPr>
        <w:footnoteReference w:id="12"/>
      </w:r>
      <w:r>
        <w:rPr>
          <w:sz w:val="24"/>
          <w:szCs w:val="24"/>
        </w:rPr>
        <w:t xml:space="preserve">  </w:t>
      </w:r>
    </w:p>
    <w:p w14:paraId="781964A1" w14:textId="77777777" w:rsidR="009A386C" w:rsidRDefault="009A386C" w:rsidP="006D170D">
      <w:pPr>
        <w:spacing w:line="240" w:lineRule="auto"/>
        <w:ind w:left="432" w:hanging="432"/>
        <w:rPr>
          <w:sz w:val="24"/>
          <w:szCs w:val="24"/>
        </w:rPr>
      </w:pPr>
    </w:p>
    <w:p w14:paraId="49C76805" w14:textId="3009121A" w:rsidR="007D6F5B" w:rsidRDefault="009A386C" w:rsidP="006D170D">
      <w:pPr>
        <w:spacing w:line="240" w:lineRule="auto"/>
        <w:ind w:left="432" w:hanging="432"/>
        <w:rPr>
          <w:sz w:val="24"/>
          <w:szCs w:val="24"/>
        </w:rPr>
      </w:pPr>
      <w:r>
        <w:rPr>
          <w:sz w:val="24"/>
          <w:szCs w:val="24"/>
        </w:rPr>
        <w:lastRenderedPageBreak/>
        <w:t>11.  GWA has also compared the benefits of its proposed upgrade to its current software system and competitor software systems and it has determined that it is more beneficial for GWA to proceed with its proposed upgrade.</w:t>
      </w:r>
      <w:r>
        <w:rPr>
          <w:rStyle w:val="FootnoteReference"/>
          <w:sz w:val="24"/>
          <w:szCs w:val="24"/>
        </w:rPr>
        <w:footnoteReference w:id="13"/>
      </w:r>
      <w:r>
        <w:rPr>
          <w:sz w:val="24"/>
          <w:szCs w:val="24"/>
        </w:rPr>
        <w:t xml:space="preserve">  Finally, GWA has providing more data showing that the JDE E1 digital platform it seeks to upgrade to remains an industry leader.</w:t>
      </w:r>
      <w:r>
        <w:rPr>
          <w:rStyle w:val="FootnoteReference"/>
          <w:sz w:val="24"/>
          <w:szCs w:val="24"/>
        </w:rPr>
        <w:footnoteReference w:id="14"/>
      </w:r>
    </w:p>
    <w:p w14:paraId="67083294" w14:textId="77777777" w:rsidR="00B61244" w:rsidRDefault="00B61244" w:rsidP="006D170D">
      <w:pPr>
        <w:spacing w:line="240" w:lineRule="auto"/>
        <w:ind w:left="432" w:hanging="432"/>
        <w:rPr>
          <w:sz w:val="24"/>
          <w:szCs w:val="24"/>
        </w:rPr>
      </w:pPr>
    </w:p>
    <w:p w14:paraId="5CA206FB" w14:textId="77777777" w:rsidR="006E3058" w:rsidRDefault="006E3058" w:rsidP="006E3058">
      <w:pPr>
        <w:spacing w:line="240" w:lineRule="auto"/>
        <w:ind w:left="432" w:hanging="432"/>
        <w:rPr>
          <w:sz w:val="24"/>
          <w:szCs w:val="24"/>
        </w:rPr>
      </w:pPr>
    </w:p>
    <w:p w14:paraId="4EF2A8EC" w14:textId="77777777" w:rsidR="006E3058" w:rsidRDefault="006E3058" w:rsidP="006E3058">
      <w:pPr>
        <w:spacing w:line="240" w:lineRule="auto"/>
        <w:ind w:left="432" w:hanging="432"/>
        <w:jc w:val="center"/>
        <w:rPr>
          <w:b/>
          <w:sz w:val="24"/>
          <w:szCs w:val="24"/>
          <w:u w:val="single"/>
        </w:rPr>
      </w:pPr>
      <w:r>
        <w:rPr>
          <w:b/>
          <w:sz w:val="24"/>
          <w:szCs w:val="24"/>
          <w:u w:val="single"/>
        </w:rPr>
        <w:t>ANALYSIS</w:t>
      </w:r>
    </w:p>
    <w:p w14:paraId="4E473921" w14:textId="77777777" w:rsidR="006E3058" w:rsidRDefault="006E3058" w:rsidP="006E3058">
      <w:pPr>
        <w:spacing w:line="240" w:lineRule="auto"/>
        <w:rPr>
          <w:b/>
          <w:sz w:val="24"/>
          <w:szCs w:val="24"/>
          <w:u w:val="single"/>
        </w:rPr>
      </w:pPr>
    </w:p>
    <w:p w14:paraId="3C15B6F1" w14:textId="76D17B76" w:rsidR="00095AE6" w:rsidRDefault="002768C1" w:rsidP="006E3058">
      <w:pPr>
        <w:spacing w:line="240" w:lineRule="auto"/>
        <w:ind w:left="432" w:hanging="432"/>
        <w:rPr>
          <w:sz w:val="24"/>
          <w:szCs w:val="24"/>
        </w:rPr>
      </w:pPr>
      <w:r>
        <w:rPr>
          <w:sz w:val="24"/>
          <w:szCs w:val="24"/>
        </w:rPr>
        <w:t>12</w:t>
      </w:r>
      <w:r w:rsidR="006E3058" w:rsidRPr="006E3058">
        <w:rPr>
          <w:sz w:val="24"/>
          <w:szCs w:val="24"/>
        </w:rPr>
        <w:t>.</w:t>
      </w:r>
      <w:r w:rsidR="009A386C">
        <w:rPr>
          <w:sz w:val="24"/>
          <w:szCs w:val="24"/>
        </w:rPr>
        <w:tab/>
        <w:t>Clearly, its not hard to beat GWA’s existing software system which is over twenty years old.   As stated above, the existing software’s “green-screen” interface, its taped back-up system, the need to generate monthly management reports outside of the system</w:t>
      </w:r>
      <w:r>
        <w:rPr>
          <w:sz w:val="24"/>
          <w:szCs w:val="24"/>
        </w:rPr>
        <w:t>, and the inability of users to access the system remotely</w:t>
      </w:r>
      <w:r w:rsidR="009A386C">
        <w:rPr>
          <w:sz w:val="24"/>
          <w:szCs w:val="24"/>
        </w:rPr>
        <w:t xml:space="preserve"> are all good </w:t>
      </w:r>
      <w:r>
        <w:rPr>
          <w:sz w:val="24"/>
          <w:szCs w:val="24"/>
        </w:rPr>
        <w:t xml:space="preserve">indicators that GWA should replace its existing software system.   If this is not sufficient justification, the expiration of technical support for the software system in </w:t>
      </w:r>
      <w:proofErr w:type="gramStart"/>
      <w:r>
        <w:rPr>
          <w:sz w:val="24"/>
          <w:szCs w:val="24"/>
        </w:rPr>
        <w:t>March,</w:t>
      </w:r>
      <w:proofErr w:type="gramEnd"/>
      <w:r>
        <w:rPr>
          <w:sz w:val="24"/>
          <w:szCs w:val="24"/>
        </w:rPr>
        <w:t xml:space="preserve"> 2020 is.</w:t>
      </w:r>
      <w:r w:rsidR="00B61244">
        <w:rPr>
          <w:sz w:val="24"/>
          <w:szCs w:val="24"/>
        </w:rPr>
        <w:t xml:space="preserve">  </w:t>
      </w:r>
      <w:r>
        <w:rPr>
          <w:sz w:val="24"/>
          <w:szCs w:val="24"/>
        </w:rPr>
        <w:t xml:space="preserve">Hence, the replacement of GWA’s existing software system is necessary. </w:t>
      </w:r>
      <w:r w:rsidR="009A386C">
        <w:rPr>
          <w:sz w:val="24"/>
          <w:szCs w:val="24"/>
        </w:rPr>
        <w:t xml:space="preserve"> </w:t>
      </w:r>
      <w:r w:rsidR="006E3058" w:rsidRPr="006E3058">
        <w:rPr>
          <w:sz w:val="24"/>
          <w:szCs w:val="24"/>
        </w:rPr>
        <w:tab/>
      </w:r>
      <w:bookmarkStart w:id="4" w:name="_Hlk41384683"/>
      <w:r w:rsidR="000E2EC6">
        <w:rPr>
          <w:sz w:val="24"/>
          <w:szCs w:val="24"/>
        </w:rPr>
        <w:t xml:space="preserve"> </w:t>
      </w:r>
      <w:bookmarkEnd w:id="4"/>
    </w:p>
    <w:p w14:paraId="5E7B2BD0" w14:textId="364CA321" w:rsidR="00BA7548" w:rsidRDefault="00BA7548" w:rsidP="006E3058">
      <w:pPr>
        <w:spacing w:line="240" w:lineRule="auto"/>
        <w:ind w:left="432" w:hanging="432"/>
        <w:rPr>
          <w:sz w:val="24"/>
          <w:szCs w:val="24"/>
        </w:rPr>
      </w:pPr>
    </w:p>
    <w:p w14:paraId="69F98A0C" w14:textId="77777777" w:rsidR="004B4036" w:rsidRDefault="00BA7548" w:rsidP="006E3058">
      <w:pPr>
        <w:spacing w:line="240" w:lineRule="auto"/>
        <w:ind w:left="432" w:hanging="432"/>
        <w:rPr>
          <w:sz w:val="24"/>
          <w:szCs w:val="24"/>
        </w:rPr>
      </w:pPr>
      <w:r>
        <w:rPr>
          <w:sz w:val="24"/>
          <w:szCs w:val="24"/>
        </w:rPr>
        <w:t xml:space="preserve"> </w:t>
      </w:r>
      <w:r w:rsidR="002768C1">
        <w:rPr>
          <w:sz w:val="24"/>
          <w:szCs w:val="24"/>
        </w:rPr>
        <w:t>13</w:t>
      </w:r>
      <w:r>
        <w:rPr>
          <w:sz w:val="24"/>
          <w:szCs w:val="24"/>
        </w:rPr>
        <w:t>.</w:t>
      </w:r>
      <w:r>
        <w:rPr>
          <w:sz w:val="24"/>
          <w:szCs w:val="24"/>
        </w:rPr>
        <w:tab/>
      </w:r>
      <w:r w:rsidR="002768C1">
        <w:rPr>
          <w:sz w:val="24"/>
          <w:szCs w:val="24"/>
        </w:rPr>
        <w:t xml:space="preserve">The real issue in this matter is whether it would be more reasonable or prudent </w:t>
      </w:r>
      <w:r w:rsidR="004B4036">
        <w:rPr>
          <w:sz w:val="24"/>
          <w:szCs w:val="24"/>
        </w:rPr>
        <w:t xml:space="preserve">to </w:t>
      </w:r>
      <w:r w:rsidR="002768C1">
        <w:rPr>
          <w:sz w:val="24"/>
          <w:szCs w:val="24"/>
        </w:rPr>
        <w:t>solicit and obtain a new software system in lieu of proceeding with the proposed upgrade.</w:t>
      </w:r>
      <w:r w:rsidR="00892FB5">
        <w:rPr>
          <w:sz w:val="24"/>
          <w:szCs w:val="24"/>
        </w:rPr>
        <w:t xml:space="preserve">  GWA completed a performance analysis of the JDE E1 digital platform to its peer competitors and concluded that each of these software systems had equal performance scores.</w:t>
      </w:r>
      <w:r w:rsidR="00892FB5">
        <w:rPr>
          <w:rStyle w:val="FootnoteReference"/>
          <w:sz w:val="24"/>
          <w:szCs w:val="24"/>
        </w:rPr>
        <w:footnoteReference w:id="15"/>
      </w:r>
      <w:r w:rsidR="004B4036">
        <w:rPr>
          <w:sz w:val="24"/>
          <w:szCs w:val="24"/>
        </w:rPr>
        <w:t xml:space="preserve">  Hence, it is unlikely that GWA will be obtaining any enhanced performance from other software systems by taking this course of action. </w:t>
      </w:r>
    </w:p>
    <w:p w14:paraId="05EAAF63" w14:textId="77777777" w:rsidR="004B4036" w:rsidRDefault="004B4036" w:rsidP="006E3058">
      <w:pPr>
        <w:spacing w:line="240" w:lineRule="auto"/>
        <w:ind w:left="432" w:hanging="432"/>
        <w:rPr>
          <w:sz w:val="24"/>
          <w:szCs w:val="24"/>
        </w:rPr>
      </w:pPr>
    </w:p>
    <w:p w14:paraId="351AF74A" w14:textId="79D3B9A8" w:rsidR="00BA7548" w:rsidRDefault="004B4036" w:rsidP="006E3058">
      <w:pPr>
        <w:spacing w:line="240" w:lineRule="auto"/>
        <w:ind w:left="432" w:hanging="432"/>
        <w:rPr>
          <w:sz w:val="24"/>
          <w:szCs w:val="24"/>
        </w:rPr>
      </w:pPr>
      <w:r>
        <w:rPr>
          <w:sz w:val="24"/>
          <w:szCs w:val="24"/>
        </w:rPr>
        <w:t>14.</w:t>
      </w:r>
      <w:r>
        <w:rPr>
          <w:sz w:val="24"/>
          <w:szCs w:val="24"/>
        </w:rPr>
        <w:tab/>
        <w:t xml:space="preserve">Cost is the main difference between GWA proceeding with its proposed upgrade and soliciting for and obtaining a new software system.  </w:t>
      </w:r>
      <w:r w:rsidR="002768C1">
        <w:rPr>
          <w:sz w:val="24"/>
          <w:szCs w:val="24"/>
        </w:rPr>
        <w:t>As set forth in PUC Counsel’s prior report on this matter, the upgrade’s</w:t>
      </w:r>
      <w:bookmarkStart w:id="5" w:name="_Hlk35166603"/>
      <w:r w:rsidR="002768C1">
        <w:rPr>
          <w:sz w:val="24"/>
          <w:szCs w:val="24"/>
        </w:rPr>
        <w:t xml:space="preserve"> </w:t>
      </w:r>
      <w:r w:rsidR="00BA7548">
        <w:rPr>
          <w:sz w:val="24"/>
          <w:szCs w:val="24"/>
        </w:rPr>
        <w:t>$5,286,385 contract cost is reasonable</w:t>
      </w:r>
      <w:bookmarkEnd w:id="5"/>
      <w:r w:rsidR="002768C1">
        <w:rPr>
          <w:sz w:val="24"/>
          <w:szCs w:val="24"/>
        </w:rPr>
        <w:t xml:space="preserve"> because </w:t>
      </w:r>
      <w:r w:rsidR="00BA7548">
        <w:rPr>
          <w:sz w:val="24"/>
          <w:szCs w:val="24"/>
        </w:rPr>
        <w:t>the typical cost for an average mid-size business</w:t>
      </w:r>
      <w:r w:rsidR="002768C1">
        <w:rPr>
          <w:sz w:val="24"/>
          <w:szCs w:val="24"/>
        </w:rPr>
        <w:t>’</w:t>
      </w:r>
      <w:r w:rsidR="00BA7548">
        <w:rPr>
          <w:sz w:val="24"/>
          <w:szCs w:val="24"/>
        </w:rPr>
        <w:t xml:space="preserve"> ERP </w:t>
      </w:r>
      <w:r w:rsidR="002768C1">
        <w:rPr>
          <w:sz w:val="24"/>
          <w:szCs w:val="24"/>
        </w:rPr>
        <w:t xml:space="preserve">software </w:t>
      </w:r>
      <w:r w:rsidR="00BA7548">
        <w:rPr>
          <w:sz w:val="24"/>
          <w:szCs w:val="24"/>
        </w:rPr>
        <w:t>upgrade is between 3% to 7% of its annual revenue and for GWA, this translates to a range of $3.3 million to $7.4 million.</w:t>
      </w:r>
      <w:r w:rsidR="00BA7548">
        <w:rPr>
          <w:rStyle w:val="FootnoteReference"/>
          <w:sz w:val="24"/>
          <w:szCs w:val="24"/>
        </w:rPr>
        <w:footnoteReference w:id="16"/>
      </w:r>
      <w:r w:rsidR="00BA7548">
        <w:rPr>
          <w:sz w:val="24"/>
          <w:szCs w:val="24"/>
        </w:rPr>
        <w:t xml:space="preserve">   </w:t>
      </w:r>
      <w:r w:rsidR="00892FB5">
        <w:rPr>
          <w:sz w:val="24"/>
          <w:szCs w:val="24"/>
        </w:rPr>
        <w:t>As also stated in that report, t</w:t>
      </w:r>
      <w:r w:rsidR="00BA7548">
        <w:rPr>
          <w:sz w:val="24"/>
          <w:szCs w:val="24"/>
        </w:rPr>
        <w:t xml:space="preserve">his mid-range cost position is justified because GWA is not merely trying to upgrade its existing licenses as allowed by Oracle, but is also purchasing additional licenses, </w:t>
      </w:r>
      <w:r w:rsidR="00BA7548">
        <w:rPr>
          <w:sz w:val="24"/>
          <w:szCs w:val="24"/>
        </w:rPr>
        <w:lastRenderedPageBreak/>
        <w:t>support, infrastructure, and professional services from Oracle and DXC Red Rock.</w:t>
      </w:r>
      <w:r w:rsidR="00BA7548">
        <w:rPr>
          <w:rStyle w:val="FootnoteReference"/>
          <w:sz w:val="24"/>
          <w:szCs w:val="24"/>
        </w:rPr>
        <w:footnoteReference w:id="17"/>
      </w:r>
      <w:r>
        <w:rPr>
          <w:sz w:val="24"/>
          <w:szCs w:val="24"/>
        </w:rPr>
        <w:t xml:space="preserve">  A new software system would be much more than the $5,286,385 cost for GWA’s proposed upgrade because it would have to pay for new licenses and it would likely take additional time to migrate GWA to a new software system than it would to upgrade GWA’s existing software system.   </w:t>
      </w:r>
      <w:r w:rsidR="00892FB5">
        <w:rPr>
          <w:sz w:val="24"/>
          <w:szCs w:val="24"/>
        </w:rPr>
        <w:t xml:space="preserve"> </w:t>
      </w:r>
    </w:p>
    <w:p w14:paraId="4D51EA38" w14:textId="77777777" w:rsidR="006A597E" w:rsidRDefault="006A597E" w:rsidP="006E3058">
      <w:pPr>
        <w:spacing w:line="240" w:lineRule="auto"/>
        <w:ind w:left="432" w:hanging="432"/>
        <w:rPr>
          <w:sz w:val="24"/>
          <w:szCs w:val="24"/>
        </w:rPr>
      </w:pPr>
    </w:p>
    <w:p w14:paraId="25325E88" w14:textId="634106C8" w:rsidR="003544D6" w:rsidRDefault="00D2168A" w:rsidP="006E3058">
      <w:pPr>
        <w:spacing w:line="240" w:lineRule="auto"/>
        <w:ind w:left="432" w:hanging="432"/>
        <w:rPr>
          <w:sz w:val="24"/>
          <w:szCs w:val="24"/>
        </w:rPr>
      </w:pPr>
      <w:r>
        <w:rPr>
          <w:sz w:val="24"/>
          <w:szCs w:val="24"/>
        </w:rPr>
        <w:t>1</w:t>
      </w:r>
      <w:r w:rsidR="004B4036">
        <w:rPr>
          <w:sz w:val="24"/>
          <w:szCs w:val="24"/>
        </w:rPr>
        <w:t>5</w:t>
      </w:r>
      <w:r w:rsidR="006A597E">
        <w:rPr>
          <w:sz w:val="24"/>
          <w:szCs w:val="24"/>
        </w:rPr>
        <w:t xml:space="preserve">.  </w:t>
      </w:r>
      <w:r w:rsidR="004B4036">
        <w:rPr>
          <w:sz w:val="24"/>
          <w:szCs w:val="24"/>
        </w:rPr>
        <w:t xml:space="preserve">Risk is the other difference between </w:t>
      </w:r>
      <w:r w:rsidR="00A2164D">
        <w:rPr>
          <w:sz w:val="24"/>
          <w:szCs w:val="24"/>
        </w:rPr>
        <w:t>GWA</w:t>
      </w:r>
      <w:r w:rsidR="00DD3AD1">
        <w:rPr>
          <w:sz w:val="24"/>
          <w:szCs w:val="24"/>
        </w:rPr>
        <w:t xml:space="preserve">’s </w:t>
      </w:r>
      <w:r w:rsidR="004B4036">
        <w:rPr>
          <w:sz w:val="24"/>
          <w:szCs w:val="24"/>
        </w:rPr>
        <w:t xml:space="preserve">proposed upgrade and soliciting for a new software system.  Specifically, GWA’s proposed </w:t>
      </w:r>
      <w:r w:rsidR="00DD3AD1">
        <w:rPr>
          <w:sz w:val="24"/>
          <w:szCs w:val="24"/>
        </w:rPr>
        <w:t>use of the sole source procurement method is</w:t>
      </w:r>
      <w:r w:rsidR="004B4036">
        <w:rPr>
          <w:sz w:val="24"/>
          <w:szCs w:val="24"/>
        </w:rPr>
        <w:t>, as previously stated in PUC Counsel’s prior report, legal, and it bears less risk</w:t>
      </w:r>
      <w:r w:rsidR="00F07E99">
        <w:rPr>
          <w:sz w:val="24"/>
          <w:szCs w:val="24"/>
        </w:rPr>
        <w:t>.  Specifically,</w:t>
      </w:r>
      <w:r w:rsidR="004B4036">
        <w:rPr>
          <w:sz w:val="24"/>
          <w:szCs w:val="24"/>
        </w:rPr>
        <w:t xml:space="preserve"> sole sourc</w:t>
      </w:r>
      <w:r w:rsidR="00F07E99">
        <w:rPr>
          <w:sz w:val="24"/>
          <w:szCs w:val="24"/>
        </w:rPr>
        <w:t>ing the upgrade</w:t>
      </w:r>
      <w:r w:rsidR="004B4036">
        <w:rPr>
          <w:sz w:val="24"/>
          <w:szCs w:val="24"/>
        </w:rPr>
        <w:t xml:space="preserve"> greatly reduces the risk of a procurement protest that might result in the delay of replacing GWA’s aged and inefficient software system.   </w:t>
      </w:r>
    </w:p>
    <w:p w14:paraId="50AE1AB8" w14:textId="4243EC8B" w:rsidR="00B61244" w:rsidRDefault="00B61244" w:rsidP="006E3058">
      <w:pPr>
        <w:spacing w:line="240" w:lineRule="auto"/>
        <w:ind w:left="432" w:hanging="432"/>
        <w:rPr>
          <w:sz w:val="24"/>
          <w:szCs w:val="24"/>
        </w:rPr>
      </w:pPr>
    </w:p>
    <w:p w14:paraId="42D67952" w14:textId="51F72034" w:rsidR="00B61244" w:rsidRDefault="00B61244" w:rsidP="006E3058">
      <w:pPr>
        <w:spacing w:line="240" w:lineRule="auto"/>
        <w:ind w:left="432" w:hanging="432"/>
        <w:rPr>
          <w:sz w:val="24"/>
          <w:szCs w:val="24"/>
        </w:rPr>
      </w:pPr>
      <w:r>
        <w:rPr>
          <w:sz w:val="24"/>
          <w:szCs w:val="24"/>
        </w:rPr>
        <w:t xml:space="preserve">16.  Finally, at the May 28, 2020 PUC meeting, the PUC requested that GWA explore the feasibility of GWA participating in the Port Authority of Guam’s </w:t>
      </w:r>
      <w:r w:rsidR="006E5E61">
        <w:rPr>
          <w:sz w:val="24"/>
          <w:szCs w:val="24"/>
        </w:rPr>
        <w:t>procurement of it’s JDE Enterprise One Financial Management System Upgrade which was approved by the PUC at the May 28, 2020 PUC meeting.    GWA responds to this inquiry by stating that GWA’s management spoke with Oracle and GWA’s proposed consultant, Red Rock concerning this matter, and that due to GWA and the Port Authority of Guam having different boards and due to GWA and the Port Authority of Guam performing entirely different functions, the systems and licenses would not be shareable.  Nevertheless, GWA stated that it requested that Oracle and Red Rock provide it with a larger discount similar to that provided to the Port Authority of Guam, however, GWA has not received a response to its request as of the date of this report.</w:t>
      </w:r>
      <w:r w:rsidR="006E5E61">
        <w:rPr>
          <w:rStyle w:val="FootnoteReference"/>
          <w:sz w:val="24"/>
          <w:szCs w:val="24"/>
        </w:rPr>
        <w:footnoteReference w:id="18"/>
      </w:r>
    </w:p>
    <w:p w14:paraId="267E63E0" w14:textId="7B82125E" w:rsidR="00E836F0" w:rsidRDefault="00E836F0" w:rsidP="006E3058">
      <w:pPr>
        <w:spacing w:line="240" w:lineRule="auto"/>
        <w:ind w:left="432" w:hanging="432"/>
        <w:rPr>
          <w:sz w:val="24"/>
          <w:szCs w:val="24"/>
        </w:rPr>
      </w:pPr>
    </w:p>
    <w:p w14:paraId="1FB81A84" w14:textId="1202817C" w:rsidR="009C377F" w:rsidRDefault="00C11E3E" w:rsidP="006E3058">
      <w:pPr>
        <w:spacing w:line="240" w:lineRule="auto"/>
        <w:ind w:left="432" w:hanging="432"/>
        <w:rPr>
          <w:sz w:val="24"/>
          <w:szCs w:val="24"/>
        </w:rPr>
      </w:pPr>
      <w:r>
        <w:rPr>
          <w:sz w:val="24"/>
          <w:szCs w:val="24"/>
        </w:rPr>
        <w:t>1</w:t>
      </w:r>
      <w:r w:rsidR="006E5E61">
        <w:rPr>
          <w:sz w:val="24"/>
          <w:szCs w:val="24"/>
        </w:rPr>
        <w:t>7</w:t>
      </w:r>
      <w:r>
        <w:rPr>
          <w:sz w:val="24"/>
          <w:szCs w:val="24"/>
        </w:rPr>
        <w:t xml:space="preserve">.  </w:t>
      </w:r>
      <w:r w:rsidR="00C32057">
        <w:rPr>
          <w:sz w:val="24"/>
          <w:szCs w:val="24"/>
        </w:rPr>
        <w:t xml:space="preserve">Based on the foregoing, </w:t>
      </w:r>
      <w:r w:rsidR="007C4933">
        <w:rPr>
          <w:sz w:val="24"/>
          <w:szCs w:val="24"/>
        </w:rPr>
        <w:t xml:space="preserve">GWA’s </w:t>
      </w:r>
      <w:r w:rsidR="000F5EA8">
        <w:rPr>
          <w:sz w:val="24"/>
          <w:szCs w:val="24"/>
        </w:rPr>
        <w:t xml:space="preserve">sole source procurement of the DXC Red Rock contract and the contract’s </w:t>
      </w:r>
      <w:r w:rsidR="00CB7570">
        <w:rPr>
          <w:sz w:val="24"/>
          <w:szCs w:val="24"/>
        </w:rPr>
        <w:t xml:space="preserve">$5,286,385 cost </w:t>
      </w:r>
      <w:r w:rsidR="007C4933">
        <w:rPr>
          <w:sz w:val="24"/>
          <w:szCs w:val="24"/>
        </w:rPr>
        <w:t>are reasonable, prudent, and necessary</w:t>
      </w:r>
      <w:r w:rsidR="00F07E99">
        <w:rPr>
          <w:sz w:val="24"/>
          <w:szCs w:val="24"/>
        </w:rPr>
        <w:t xml:space="preserve">, and the alternative of placing the software contract out to obtain a different software system should not be pursued because it entails greater cost and risk, with no substantial performance gains to justify the increased cost and risk. </w:t>
      </w:r>
      <w:r w:rsidR="007C4933">
        <w:rPr>
          <w:sz w:val="24"/>
          <w:szCs w:val="24"/>
        </w:rPr>
        <w:t xml:space="preserve"> </w:t>
      </w:r>
    </w:p>
    <w:p w14:paraId="423D009A" w14:textId="77777777" w:rsidR="00B842A8" w:rsidRDefault="00B842A8" w:rsidP="006E3058">
      <w:pPr>
        <w:spacing w:line="240" w:lineRule="auto"/>
        <w:ind w:left="432" w:hanging="432"/>
        <w:rPr>
          <w:sz w:val="24"/>
          <w:szCs w:val="24"/>
        </w:rPr>
      </w:pPr>
    </w:p>
    <w:p w14:paraId="394CEB50" w14:textId="77777777" w:rsidR="00B842A8" w:rsidRDefault="00B842A8" w:rsidP="00B842A8">
      <w:pPr>
        <w:spacing w:line="240" w:lineRule="auto"/>
        <w:ind w:left="432" w:hanging="432"/>
        <w:jc w:val="center"/>
        <w:rPr>
          <w:b/>
          <w:sz w:val="24"/>
          <w:szCs w:val="24"/>
          <w:u w:val="single"/>
        </w:rPr>
      </w:pPr>
      <w:r>
        <w:rPr>
          <w:b/>
          <w:sz w:val="24"/>
          <w:szCs w:val="24"/>
          <w:u w:val="single"/>
        </w:rPr>
        <w:t>RECOMMENDATION</w:t>
      </w:r>
    </w:p>
    <w:p w14:paraId="56EC2DF5" w14:textId="77777777" w:rsidR="00B842A8" w:rsidRDefault="00B842A8" w:rsidP="00B842A8">
      <w:pPr>
        <w:spacing w:line="240" w:lineRule="auto"/>
        <w:ind w:left="432" w:hanging="432"/>
        <w:jc w:val="center"/>
        <w:rPr>
          <w:b/>
          <w:sz w:val="24"/>
          <w:szCs w:val="24"/>
          <w:u w:val="single"/>
        </w:rPr>
      </w:pPr>
    </w:p>
    <w:p w14:paraId="55408E91" w14:textId="57AA089B" w:rsidR="00302A47" w:rsidRDefault="00B842A8" w:rsidP="00B842A8">
      <w:pPr>
        <w:spacing w:line="240" w:lineRule="auto"/>
        <w:ind w:left="432" w:hanging="432"/>
        <w:rPr>
          <w:sz w:val="24"/>
          <w:szCs w:val="24"/>
        </w:rPr>
      </w:pPr>
      <w:r>
        <w:rPr>
          <w:sz w:val="24"/>
          <w:szCs w:val="24"/>
        </w:rPr>
        <w:t>1</w:t>
      </w:r>
      <w:r w:rsidR="006E5E61">
        <w:rPr>
          <w:sz w:val="24"/>
          <w:szCs w:val="24"/>
        </w:rPr>
        <w:t>8</w:t>
      </w:r>
      <w:r>
        <w:rPr>
          <w:sz w:val="24"/>
          <w:szCs w:val="24"/>
        </w:rPr>
        <w:t>.</w:t>
      </w:r>
      <w:r>
        <w:rPr>
          <w:sz w:val="24"/>
          <w:szCs w:val="24"/>
        </w:rPr>
        <w:tab/>
        <w:t xml:space="preserve">Counsel recommends </w:t>
      </w:r>
      <w:r w:rsidR="00B47624">
        <w:rPr>
          <w:sz w:val="24"/>
          <w:szCs w:val="24"/>
        </w:rPr>
        <w:t xml:space="preserve">that </w:t>
      </w:r>
      <w:r>
        <w:rPr>
          <w:sz w:val="24"/>
          <w:szCs w:val="24"/>
        </w:rPr>
        <w:t xml:space="preserve">the PUC </w:t>
      </w:r>
      <w:r w:rsidR="007C4933">
        <w:rPr>
          <w:sz w:val="24"/>
          <w:szCs w:val="24"/>
        </w:rPr>
        <w:t xml:space="preserve">approve GWA’s </w:t>
      </w:r>
      <w:r w:rsidR="00CB7570">
        <w:rPr>
          <w:sz w:val="24"/>
          <w:szCs w:val="24"/>
        </w:rPr>
        <w:t xml:space="preserve">contract with DXC Red Rock for the amount of $5,286,385. </w:t>
      </w:r>
    </w:p>
    <w:p w14:paraId="21FA4977" w14:textId="77777777" w:rsidR="00302A47" w:rsidRDefault="00302A47" w:rsidP="00B842A8">
      <w:pPr>
        <w:spacing w:line="240" w:lineRule="auto"/>
        <w:ind w:left="432" w:hanging="432"/>
        <w:rPr>
          <w:sz w:val="24"/>
          <w:szCs w:val="24"/>
        </w:rPr>
      </w:pPr>
    </w:p>
    <w:p w14:paraId="1D49CBDB" w14:textId="2AD25E56" w:rsidR="00B842A8" w:rsidRDefault="00302A47" w:rsidP="00B842A8">
      <w:pPr>
        <w:spacing w:line="240" w:lineRule="auto"/>
        <w:ind w:left="432" w:hanging="432"/>
        <w:rPr>
          <w:sz w:val="24"/>
          <w:szCs w:val="24"/>
        </w:rPr>
      </w:pPr>
      <w:r>
        <w:rPr>
          <w:sz w:val="24"/>
          <w:szCs w:val="24"/>
        </w:rPr>
        <w:t>1</w:t>
      </w:r>
      <w:r w:rsidR="006E5E61">
        <w:rPr>
          <w:sz w:val="24"/>
          <w:szCs w:val="24"/>
        </w:rPr>
        <w:t>9</w:t>
      </w:r>
      <w:r>
        <w:rPr>
          <w:sz w:val="24"/>
          <w:szCs w:val="24"/>
        </w:rPr>
        <w:t xml:space="preserve">.  A </w:t>
      </w:r>
      <w:r w:rsidR="00B842A8">
        <w:rPr>
          <w:sz w:val="24"/>
          <w:szCs w:val="24"/>
        </w:rPr>
        <w:t>Proposed Order is submitted herewith for the consideration of the</w:t>
      </w:r>
      <w:r w:rsidR="00F07E99">
        <w:rPr>
          <w:sz w:val="24"/>
          <w:szCs w:val="24"/>
        </w:rPr>
        <w:t xml:space="preserve"> </w:t>
      </w:r>
      <w:r w:rsidR="00B842A8">
        <w:rPr>
          <w:sz w:val="24"/>
          <w:szCs w:val="24"/>
        </w:rPr>
        <w:t>Commissioners.</w:t>
      </w:r>
    </w:p>
    <w:p w14:paraId="331E4B4E" w14:textId="77777777" w:rsidR="00B842A8" w:rsidRDefault="00B842A8" w:rsidP="00B842A8">
      <w:pPr>
        <w:spacing w:line="240" w:lineRule="auto"/>
        <w:ind w:left="432" w:hanging="432"/>
        <w:rPr>
          <w:sz w:val="24"/>
          <w:szCs w:val="24"/>
        </w:rPr>
      </w:pPr>
    </w:p>
    <w:p w14:paraId="6701884B" w14:textId="0BC5580A" w:rsidR="00F360E8" w:rsidRDefault="00B842A8" w:rsidP="00B842A8">
      <w:pPr>
        <w:spacing w:line="240" w:lineRule="auto"/>
        <w:ind w:left="432" w:hanging="432"/>
        <w:rPr>
          <w:sz w:val="24"/>
          <w:szCs w:val="24"/>
        </w:rPr>
      </w:pPr>
      <w:r>
        <w:rPr>
          <w:sz w:val="24"/>
          <w:szCs w:val="24"/>
        </w:rPr>
        <w:tab/>
        <w:t xml:space="preserve">Dated this </w:t>
      </w:r>
      <w:r w:rsidR="00F07E99">
        <w:rPr>
          <w:sz w:val="24"/>
          <w:szCs w:val="24"/>
        </w:rPr>
        <w:t>2</w:t>
      </w:r>
      <w:r w:rsidR="006E5E61">
        <w:rPr>
          <w:sz w:val="24"/>
          <w:szCs w:val="24"/>
        </w:rPr>
        <w:t>2</w:t>
      </w:r>
      <w:r w:rsidR="006E5E61" w:rsidRPr="006E5E61">
        <w:rPr>
          <w:sz w:val="24"/>
          <w:szCs w:val="24"/>
          <w:vertAlign w:val="superscript"/>
        </w:rPr>
        <w:t>nd</w:t>
      </w:r>
      <w:r w:rsidR="006E5E61">
        <w:rPr>
          <w:sz w:val="24"/>
          <w:szCs w:val="24"/>
        </w:rPr>
        <w:t xml:space="preserve"> </w:t>
      </w:r>
      <w:r>
        <w:rPr>
          <w:sz w:val="24"/>
          <w:szCs w:val="24"/>
        </w:rPr>
        <w:t>day of</w:t>
      </w:r>
      <w:r w:rsidR="00302A47">
        <w:rPr>
          <w:sz w:val="24"/>
          <w:szCs w:val="24"/>
        </w:rPr>
        <w:t xml:space="preserve"> </w:t>
      </w:r>
      <w:proofErr w:type="gramStart"/>
      <w:r w:rsidR="006E5E61">
        <w:rPr>
          <w:sz w:val="24"/>
          <w:szCs w:val="24"/>
        </w:rPr>
        <w:t>June</w:t>
      </w:r>
      <w:r>
        <w:rPr>
          <w:sz w:val="24"/>
          <w:szCs w:val="24"/>
        </w:rPr>
        <w:t>,</w:t>
      </w:r>
      <w:proofErr w:type="gramEnd"/>
      <w:r>
        <w:rPr>
          <w:sz w:val="24"/>
          <w:szCs w:val="24"/>
        </w:rPr>
        <w:t xml:space="preserve"> 20</w:t>
      </w:r>
      <w:r w:rsidR="00302A47">
        <w:rPr>
          <w:sz w:val="24"/>
          <w:szCs w:val="24"/>
        </w:rPr>
        <w:t>20</w:t>
      </w:r>
      <w:r>
        <w:rPr>
          <w:sz w:val="24"/>
          <w:szCs w:val="24"/>
        </w:rPr>
        <w:t>.</w:t>
      </w:r>
      <w:r w:rsidR="00CB7570">
        <w:rPr>
          <w:sz w:val="24"/>
          <w:szCs w:val="24"/>
        </w:rPr>
        <w:t xml:space="preserve">       </w:t>
      </w:r>
    </w:p>
    <w:p w14:paraId="03E5E36A" w14:textId="554DADCC" w:rsidR="00CB7570" w:rsidRDefault="00CB7570" w:rsidP="00B842A8">
      <w:pPr>
        <w:spacing w:line="240" w:lineRule="auto"/>
        <w:ind w:left="432" w:hanging="432"/>
        <w:rPr>
          <w:sz w:val="24"/>
          <w:szCs w:val="24"/>
        </w:rPr>
      </w:pPr>
    </w:p>
    <w:p w14:paraId="201160E6" w14:textId="77777777" w:rsidR="00CB7570" w:rsidRDefault="00CB7570" w:rsidP="00B842A8">
      <w:pPr>
        <w:spacing w:line="240" w:lineRule="auto"/>
        <w:ind w:left="432" w:hanging="432"/>
        <w:rPr>
          <w:sz w:val="24"/>
          <w:szCs w:val="24"/>
        </w:rPr>
      </w:pPr>
    </w:p>
    <w:p w14:paraId="3A40FB72" w14:textId="42B814C9" w:rsidR="00B842A8" w:rsidRPr="00CB7570" w:rsidRDefault="00CB7570" w:rsidP="00B842A8">
      <w:pPr>
        <w:spacing w:line="240" w:lineRule="auto"/>
        <w:ind w:left="432" w:hanging="432"/>
        <w:rPr>
          <w:rFonts w:ascii="Brush Script MT" w:hAnsi="Brush Script MT"/>
          <w:sz w:val="36"/>
          <w:szCs w:val="36"/>
        </w:rPr>
      </w:pPr>
      <w:r>
        <w:rPr>
          <w:sz w:val="24"/>
          <w:szCs w:val="24"/>
        </w:rPr>
        <w:t xml:space="preserve">                                                                                </w:t>
      </w:r>
      <w:r w:rsidRPr="00CB7570">
        <w:rPr>
          <w:rFonts w:ascii="Brush Script MT" w:hAnsi="Brush Script MT"/>
          <w:sz w:val="36"/>
          <w:szCs w:val="36"/>
        </w:rPr>
        <w:t>Anthony R. Camacho</w:t>
      </w:r>
    </w:p>
    <w:p w14:paraId="69FB13D6" w14:textId="1B6CABE3" w:rsidR="00B842A8" w:rsidRDefault="00B842A8" w:rsidP="00B842A8">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w:t>
      </w:r>
      <w:r w:rsidR="00265148">
        <w:rPr>
          <w:sz w:val="24"/>
          <w:szCs w:val="24"/>
        </w:rPr>
        <w:t>____________</w:t>
      </w:r>
      <w:r>
        <w:rPr>
          <w:sz w:val="24"/>
          <w:szCs w:val="24"/>
        </w:rPr>
        <w:t>_</w:t>
      </w:r>
    </w:p>
    <w:p w14:paraId="6034E743" w14:textId="330ADE96" w:rsidR="00B842A8" w:rsidRDefault="00B842A8" w:rsidP="00B842A8">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7624">
        <w:rPr>
          <w:sz w:val="24"/>
          <w:szCs w:val="24"/>
        </w:rPr>
        <w:t>Anthony R. Camacho, Esq.</w:t>
      </w:r>
      <w:r>
        <w:rPr>
          <w:sz w:val="24"/>
          <w:szCs w:val="24"/>
        </w:rPr>
        <w:t xml:space="preserve"> </w:t>
      </w:r>
    </w:p>
    <w:p w14:paraId="48DB0EAF" w14:textId="2F06641B" w:rsidR="00307CA0" w:rsidRDefault="00B842A8" w:rsidP="00411F30">
      <w:pPr>
        <w:spacing w:line="240" w:lineRule="auto"/>
        <w:ind w:left="432" w:hanging="432"/>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PUC Legal Counsel</w:t>
      </w:r>
    </w:p>
    <w:sectPr w:rsidR="00307CA0" w:rsidSect="00B15ED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FD402" w14:textId="77777777" w:rsidR="00355870" w:rsidRDefault="00355870" w:rsidP="00782C4F">
      <w:pPr>
        <w:spacing w:line="240" w:lineRule="auto"/>
      </w:pPr>
      <w:r>
        <w:separator/>
      </w:r>
    </w:p>
  </w:endnote>
  <w:endnote w:type="continuationSeparator" w:id="0">
    <w:p w14:paraId="39480733" w14:textId="77777777" w:rsidR="00355870" w:rsidRDefault="00355870" w:rsidP="00782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450630"/>
      <w:docPartObj>
        <w:docPartGallery w:val="Page Numbers (Bottom of Page)"/>
        <w:docPartUnique/>
      </w:docPartObj>
    </w:sdtPr>
    <w:sdtEndPr>
      <w:rPr>
        <w:noProof/>
      </w:rPr>
    </w:sdtEndPr>
    <w:sdtContent>
      <w:p w14:paraId="623F6B4D" w14:textId="77777777" w:rsidR="00782C4F" w:rsidRDefault="00782C4F">
        <w:pPr>
          <w:pStyle w:val="Footer"/>
          <w:jc w:val="center"/>
        </w:pPr>
        <w:r>
          <w:fldChar w:fldCharType="begin"/>
        </w:r>
        <w:r>
          <w:instrText xml:space="preserve"> PAGE   \* MERGEFORMAT </w:instrText>
        </w:r>
        <w:r>
          <w:fldChar w:fldCharType="separate"/>
        </w:r>
        <w:r w:rsidR="008B1075">
          <w:rPr>
            <w:noProof/>
          </w:rPr>
          <w:t>3</w:t>
        </w:r>
        <w:r>
          <w:rPr>
            <w:noProof/>
          </w:rPr>
          <w:fldChar w:fldCharType="end"/>
        </w:r>
      </w:p>
    </w:sdtContent>
  </w:sdt>
  <w:p w14:paraId="36045D0A" w14:textId="77777777" w:rsidR="00782C4F" w:rsidRDefault="0078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D60A5" w14:textId="77777777" w:rsidR="00355870" w:rsidRDefault="00355870" w:rsidP="00782C4F">
      <w:pPr>
        <w:spacing w:line="240" w:lineRule="auto"/>
      </w:pPr>
      <w:r>
        <w:separator/>
      </w:r>
    </w:p>
  </w:footnote>
  <w:footnote w:type="continuationSeparator" w:id="0">
    <w:p w14:paraId="42A9FD5C" w14:textId="77777777" w:rsidR="00355870" w:rsidRDefault="00355870" w:rsidP="00782C4F">
      <w:pPr>
        <w:spacing w:line="240" w:lineRule="auto"/>
      </w:pPr>
      <w:r>
        <w:continuationSeparator/>
      </w:r>
    </w:p>
  </w:footnote>
  <w:footnote w:id="1">
    <w:p w14:paraId="7056438D" w14:textId="1DCC3F5B" w:rsidR="00782C4F" w:rsidRDefault="00782C4F">
      <w:pPr>
        <w:pStyle w:val="FootnoteText"/>
      </w:pPr>
      <w:r>
        <w:rPr>
          <w:rStyle w:val="FootnoteReference"/>
        </w:rPr>
        <w:footnoteRef/>
      </w:r>
      <w:r>
        <w:t xml:space="preserve"> G</w:t>
      </w:r>
      <w:r w:rsidR="00813D7C">
        <w:t>W</w:t>
      </w:r>
      <w:r>
        <w:t xml:space="preserve">A </w:t>
      </w:r>
      <w:r w:rsidR="00BE4AD1">
        <w:t xml:space="preserve">Petition </w:t>
      </w:r>
      <w:r w:rsidR="00602423">
        <w:t>for Approval of GWA’s Enterprise Resource Planning System Upgrade under the Contract Review Protocol</w:t>
      </w:r>
      <w:r>
        <w:t>, G</w:t>
      </w:r>
      <w:r w:rsidR="002F6E53">
        <w:t>W</w:t>
      </w:r>
      <w:r>
        <w:t xml:space="preserve">A Docket </w:t>
      </w:r>
      <w:r w:rsidR="005B2528">
        <w:t>20</w:t>
      </w:r>
      <w:r>
        <w:t>-</w:t>
      </w:r>
      <w:r w:rsidR="00C34F06">
        <w:t>0</w:t>
      </w:r>
      <w:r w:rsidR="00602423">
        <w:t>4</w:t>
      </w:r>
      <w:r>
        <w:t xml:space="preserve">, filed </w:t>
      </w:r>
      <w:r w:rsidR="00A32DA2">
        <w:t>on</w:t>
      </w:r>
      <w:r w:rsidR="005B2528">
        <w:t xml:space="preserve"> </w:t>
      </w:r>
      <w:r w:rsidR="00602423">
        <w:t>February 27, 2020 [GWA</w:t>
      </w:r>
      <w:r w:rsidR="00BE4AD1">
        <w:t xml:space="preserve"> Original</w:t>
      </w:r>
      <w:r w:rsidR="00602423">
        <w:t xml:space="preserve"> Petition]</w:t>
      </w:r>
      <w:r w:rsidR="00676F5B">
        <w:t xml:space="preserve"> at 1. </w:t>
      </w:r>
    </w:p>
  </w:footnote>
  <w:footnote w:id="2">
    <w:p w14:paraId="0CD280D9" w14:textId="59B00D70" w:rsidR="00BE4AD1" w:rsidRDefault="00BE4AD1">
      <w:pPr>
        <w:pStyle w:val="FootnoteText"/>
      </w:pPr>
      <w:r>
        <w:rPr>
          <w:rStyle w:val="FootnoteReference"/>
        </w:rPr>
        <w:footnoteRef/>
      </w:r>
      <w:r>
        <w:t xml:space="preserve"> GWA Supplemental Brief in Support of the Contract to Upgrade GWA’s Enterprise Resource Planning System, GWA Docket 20-04, filed on February 27, 2020 [GWA Supplemental Brief] at 1. </w:t>
      </w:r>
    </w:p>
  </w:footnote>
  <w:footnote w:id="3">
    <w:p w14:paraId="150E5FC8" w14:textId="580E1A05" w:rsidR="00B61244" w:rsidRDefault="00B61244">
      <w:pPr>
        <w:pStyle w:val="FootnoteText"/>
      </w:pPr>
      <w:r>
        <w:rPr>
          <w:rStyle w:val="FootnoteReference"/>
        </w:rPr>
        <w:footnoteRef/>
      </w:r>
      <w:r>
        <w:t xml:space="preserve"> GWA Motion for Reconsideration Filed on June 5, 2020 [GWA Motion for Reconsideration] at 1. </w:t>
      </w:r>
    </w:p>
  </w:footnote>
  <w:footnote w:id="4">
    <w:p w14:paraId="3AE4ABE8" w14:textId="6443163D" w:rsidR="00676F5B" w:rsidRDefault="00676F5B">
      <w:pPr>
        <w:pStyle w:val="FootnoteText"/>
      </w:pPr>
      <w:r>
        <w:rPr>
          <w:rStyle w:val="FootnoteReference"/>
        </w:rPr>
        <w:footnoteRef/>
      </w:r>
      <w:r>
        <w:t xml:space="preserve"> </w:t>
      </w:r>
      <w:r w:rsidR="008D5312">
        <w:t>GWA Original Petition</w:t>
      </w:r>
      <w:r w:rsidR="00A805FE">
        <w:t>.,</w:t>
      </w:r>
      <w:r w:rsidR="003F1679">
        <w:t xml:space="preserve"> at </w:t>
      </w:r>
      <w:r w:rsidR="00A805FE">
        <w:t>1-</w:t>
      </w:r>
      <w:r w:rsidR="003F1679">
        <w:t xml:space="preserve">2.  </w:t>
      </w:r>
    </w:p>
  </w:footnote>
  <w:footnote w:id="5">
    <w:p w14:paraId="50BE8D36" w14:textId="2A9F7647" w:rsidR="00BA38F7" w:rsidRDefault="00BA38F7">
      <w:pPr>
        <w:pStyle w:val="FootnoteText"/>
      </w:pPr>
      <w:r>
        <w:rPr>
          <w:rStyle w:val="FootnoteReference"/>
        </w:rPr>
        <w:footnoteRef/>
      </w:r>
      <w:r>
        <w:t xml:space="preserve"> Id.</w:t>
      </w:r>
      <w:r w:rsidR="00B27B06">
        <w:t xml:space="preserve">, at 2. </w:t>
      </w:r>
      <w:r>
        <w:t xml:space="preserve"> </w:t>
      </w:r>
    </w:p>
  </w:footnote>
  <w:footnote w:id="6">
    <w:p w14:paraId="1FD98BE4" w14:textId="4C2DA7B9" w:rsidR="00BA38F7" w:rsidRDefault="00BA38F7">
      <w:pPr>
        <w:pStyle w:val="FootnoteText"/>
      </w:pPr>
      <w:r>
        <w:rPr>
          <w:rStyle w:val="FootnoteReference"/>
        </w:rPr>
        <w:footnoteRef/>
      </w:r>
      <w:r>
        <w:t xml:space="preserve"> </w:t>
      </w:r>
      <w:r w:rsidR="00F81100">
        <w:t>Id.</w:t>
      </w:r>
    </w:p>
  </w:footnote>
  <w:footnote w:id="7">
    <w:p w14:paraId="062A558D" w14:textId="55D37231" w:rsidR="005820AB" w:rsidRDefault="005820AB">
      <w:pPr>
        <w:pStyle w:val="FootnoteText"/>
      </w:pPr>
      <w:r>
        <w:rPr>
          <w:rStyle w:val="FootnoteReference"/>
        </w:rPr>
        <w:footnoteRef/>
      </w:r>
      <w:r>
        <w:t xml:space="preserve"> GWA Exhibits at 51.  NOTE:  Exhibit page numbers refer to the PDF page numbers and not any page numbers listed in the exhibits.  </w:t>
      </w:r>
    </w:p>
  </w:footnote>
  <w:footnote w:id="8">
    <w:p w14:paraId="562B4C2E" w14:textId="725DF4B6" w:rsidR="005820AB" w:rsidRDefault="005820AB">
      <w:pPr>
        <w:pStyle w:val="FootnoteText"/>
      </w:pPr>
      <w:r>
        <w:rPr>
          <w:rStyle w:val="FootnoteReference"/>
        </w:rPr>
        <w:footnoteRef/>
      </w:r>
      <w:r>
        <w:t xml:space="preserve"> Id., at </w:t>
      </w:r>
      <w:r w:rsidR="00B00077">
        <w:t xml:space="preserve">45. </w:t>
      </w:r>
    </w:p>
  </w:footnote>
  <w:footnote w:id="9">
    <w:p w14:paraId="2A8D7136" w14:textId="5A1181D6" w:rsidR="00B00077" w:rsidRDefault="00B00077">
      <w:pPr>
        <w:pStyle w:val="FootnoteText"/>
      </w:pPr>
      <w:r>
        <w:rPr>
          <w:rStyle w:val="FootnoteReference"/>
        </w:rPr>
        <w:footnoteRef/>
      </w:r>
      <w:r>
        <w:t xml:space="preserve"> Id., at 47-51. </w:t>
      </w:r>
    </w:p>
  </w:footnote>
  <w:footnote w:id="10">
    <w:p w14:paraId="4D951E7F" w14:textId="1EDD94AA" w:rsidR="00820FF4" w:rsidRDefault="00820FF4">
      <w:pPr>
        <w:pStyle w:val="FootnoteText"/>
      </w:pPr>
      <w:r>
        <w:rPr>
          <w:rStyle w:val="FootnoteReference"/>
        </w:rPr>
        <w:footnoteRef/>
      </w:r>
      <w:r>
        <w:t xml:space="preserve"> PUC Counsel Report dated March 16, 2020 for GWA Docket No. 20-04 at 2-3.  </w:t>
      </w:r>
    </w:p>
  </w:footnote>
  <w:footnote w:id="11">
    <w:p w14:paraId="074AFDC4" w14:textId="04110569" w:rsidR="001B13B7" w:rsidRDefault="001B13B7">
      <w:pPr>
        <w:pStyle w:val="FootnoteText"/>
      </w:pPr>
      <w:r>
        <w:rPr>
          <w:rStyle w:val="FootnoteReference"/>
        </w:rPr>
        <w:footnoteRef/>
      </w:r>
      <w:r>
        <w:t xml:space="preserve"> GWA Supplemental Brief at 2. </w:t>
      </w:r>
    </w:p>
  </w:footnote>
  <w:footnote w:id="12">
    <w:p w14:paraId="09EEA0EB" w14:textId="7F6E7BB0" w:rsidR="007D6F5B" w:rsidRDefault="007D6F5B">
      <w:pPr>
        <w:pStyle w:val="FootnoteText"/>
      </w:pPr>
      <w:r>
        <w:rPr>
          <w:rStyle w:val="FootnoteReference"/>
        </w:rPr>
        <w:footnoteRef/>
      </w:r>
      <w:r>
        <w:t xml:space="preserve"> Id., at 5-7. </w:t>
      </w:r>
    </w:p>
  </w:footnote>
  <w:footnote w:id="13">
    <w:p w14:paraId="6FB28F4C" w14:textId="7B9AAD5A" w:rsidR="009A386C" w:rsidRDefault="009A386C">
      <w:pPr>
        <w:pStyle w:val="FootnoteText"/>
      </w:pPr>
      <w:r>
        <w:rPr>
          <w:rStyle w:val="FootnoteReference"/>
        </w:rPr>
        <w:footnoteRef/>
      </w:r>
      <w:r>
        <w:t xml:space="preserve"> Id., at 7-10. </w:t>
      </w:r>
    </w:p>
  </w:footnote>
  <w:footnote w:id="14">
    <w:p w14:paraId="7E604CD6" w14:textId="050CFCB6" w:rsidR="009A386C" w:rsidRDefault="009A386C">
      <w:pPr>
        <w:pStyle w:val="FootnoteText"/>
      </w:pPr>
      <w:r>
        <w:rPr>
          <w:rStyle w:val="FootnoteReference"/>
        </w:rPr>
        <w:footnoteRef/>
      </w:r>
      <w:r>
        <w:t xml:space="preserve"> Id., at 10-12. </w:t>
      </w:r>
    </w:p>
  </w:footnote>
  <w:footnote w:id="15">
    <w:p w14:paraId="72296731" w14:textId="543D0E8A" w:rsidR="00892FB5" w:rsidRDefault="00892FB5">
      <w:pPr>
        <w:pStyle w:val="FootnoteText"/>
      </w:pPr>
      <w:r>
        <w:rPr>
          <w:rStyle w:val="FootnoteReference"/>
        </w:rPr>
        <w:footnoteRef/>
      </w:r>
      <w:r>
        <w:t xml:space="preserve"> </w:t>
      </w:r>
      <w:r w:rsidR="004B4036">
        <w:t xml:space="preserve">GWA Supplemental Brief </w:t>
      </w:r>
      <w:r w:rsidR="00B61244">
        <w:t xml:space="preserve">and Motion for Reconsideration </w:t>
      </w:r>
      <w:r w:rsidR="004B4036">
        <w:t xml:space="preserve">at 54.  NOTE:  Page numbers in the exhibits to the brief are not contiguous and the page number here is the PDF page number which is contiguous.   </w:t>
      </w:r>
    </w:p>
  </w:footnote>
  <w:footnote w:id="16">
    <w:p w14:paraId="48A6CF5F" w14:textId="0F2BA7DD" w:rsidR="00BA7548" w:rsidRDefault="00BA7548">
      <w:pPr>
        <w:pStyle w:val="FootnoteText"/>
      </w:pPr>
      <w:r>
        <w:rPr>
          <w:rStyle w:val="FootnoteReference"/>
        </w:rPr>
        <w:footnoteRef/>
      </w:r>
      <w:r>
        <w:t xml:space="preserve"> </w:t>
      </w:r>
      <w:r w:rsidR="002768C1">
        <w:t xml:space="preserve">PUC Counsel Report dated March 16, 2020 for GWA Docket No. 20-04 at </w:t>
      </w:r>
      <w:r w:rsidR="00D1172E">
        <w:t xml:space="preserve">2. </w:t>
      </w:r>
    </w:p>
  </w:footnote>
  <w:footnote w:id="17">
    <w:p w14:paraId="27A6ABE8" w14:textId="5F06EB1A" w:rsidR="00BA7548" w:rsidRDefault="00BA7548" w:rsidP="00BA7548">
      <w:pPr>
        <w:pStyle w:val="FootnoteText"/>
      </w:pPr>
      <w:r>
        <w:rPr>
          <w:rStyle w:val="FootnoteReference"/>
        </w:rPr>
        <w:footnoteRef/>
      </w:r>
      <w:r>
        <w:t xml:space="preserve"> Id. </w:t>
      </w:r>
    </w:p>
  </w:footnote>
  <w:footnote w:id="18">
    <w:p w14:paraId="109B43FC" w14:textId="2E409D7C" w:rsidR="006E5E61" w:rsidRDefault="006E5E61">
      <w:pPr>
        <w:pStyle w:val="FootnoteText"/>
      </w:pPr>
      <w:r>
        <w:rPr>
          <w:rStyle w:val="FootnoteReference"/>
        </w:rPr>
        <w:footnoteRef/>
      </w:r>
      <w:r>
        <w:t xml:space="preserve"> A copy of GWA’s Email to PUC Legal Counsel is as follows: </w:t>
      </w:r>
    </w:p>
    <w:p w14:paraId="020D13AA" w14:textId="77777777" w:rsidR="006E5E61" w:rsidRPr="006E5E61" w:rsidRDefault="006E5E61" w:rsidP="006E5E61">
      <w:pPr>
        <w:pStyle w:val="FootnoteText"/>
      </w:pPr>
      <w:r w:rsidRPr="006E5E61">
        <w:t>koclark@guamwaterworks.org</w:t>
      </w:r>
    </w:p>
    <w:p w14:paraId="4AB8052C" w14:textId="77777777" w:rsidR="006E5E61" w:rsidRPr="006E5E61" w:rsidRDefault="006E5E61" w:rsidP="006E5E61">
      <w:pPr>
        <w:pStyle w:val="FootnoteText"/>
      </w:pPr>
      <w:r w:rsidRPr="006E5E61">
        <w:t>Sun 6/21/2020 6:30 PM</w:t>
      </w:r>
    </w:p>
    <w:p w14:paraId="10AB4D78" w14:textId="77777777" w:rsidR="006E5E61" w:rsidRPr="006E5E61" w:rsidRDefault="006E5E61" w:rsidP="006E5E61">
      <w:pPr>
        <w:pStyle w:val="FootnoteText"/>
      </w:pPr>
      <w:r w:rsidRPr="006E5E61">
        <w:t>Mr. Camacho,</w:t>
      </w:r>
    </w:p>
    <w:p w14:paraId="16C7AEF7" w14:textId="77777777" w:rsidR="006E5E61" w:rsidRPr="006E5E61" w:rsidRDefault="006E5E61" w:rsidP="006E5E61">
      <w:pPr>
        <w:pStyle w:val="FootnoteText"/>
      </w:pPr>
      <w:r w:rsidRPr="006E5E61">
        <w:t> </w:t>
      </w:r>
    </w:p>
    <w:p w14:paraId="05900051" w14:textId="77777777" w:rsidR="006E5E61" w:rsidRPr="006E5E61" w:rsidRDefault="006E5E61" w:rsidP="006E5E61">
      <w:pPr>
        <w:pStyle w:val="FootnoteText"/>
      </w:pPr>
      <w:r w:rsidRPr="006E5E61">
        <w:t>GWA management spoke with Oracle and GWA’s proposed consultant, Red Rock about participating with the Port Authority in its E1 procurement.  Because the entities have different Boards and perform entirely different functions, the systems and licenses would not be shareable.  However, GWA has formally asked Red Rock and Oracle for a deeper discount on the services that is similar or will exceed the pricing discount allowed for the Port.  We have not heard back with respect to that request.</w:t>
      </w:r>
    </w:p>
    <w:p w14:paraId="0068DAF4" w14:textId="77777777" w:rsidR="006E5E61" w:rsidRPr="006E5E61" w:rsidRDefault="006E5E61" w:rsidP="006E5E61">
      <w:pPr>
        <w:pStyle w:val="FootnoteText"/>
      </w:pPr>
      <w:r w:rsidRPr="006E5E61">
        <w:t> </w:t>
      </w:r>
    </w:p>
    <w:p w14:paraId="51A4669B" w14:textId="77777777" w:rsidR="006E5E61" w:rsidRPr="006E5E61" w:rsidRDefault="006E5E61" w:rsidP="006E5E61">
      <w:pPr>
        <w:pStyle w:val="FootnoteText"/>
      </w:pPr>
      <w:r w:rsidRPr="006E5E61">
        <w:t>Thank you for your assistance and let me know if you require any further information.</w:t>
      </w:r>
    </w:p>
    <w:p w14:paraId="2B012958" w14:textId="77777777" w:rsidR="006E5E61" w:rsidRPr="006E5E61" w:rsidRDefault="006E5E61" w:rsidP="006E5E61">
      <w:pPr>
        <w:pStyle w:val="FootnoteText"/>
      </w:pPr>
      <w:r w:rsidRPr="006E5E61">
        <w:t> </w:t>
      </w:r>
    </w:p>
    <w:p w14:paraId="669BDF72" w14:textId="77777777" w:rsidR="006E5E61" w:rsidRPr="006E5E61" w:rsidRDefault="006E5E61" w:rsidP="006E5E61">
      <w:pPr>
        <w:pStyle w:val="FootnoteText"/>
      </w:pPr>
      <w:r w:rsidRPr="006E5E61">
        <w:t>KC  </w:t>
      </w:r>
    </w:p>
    <w:p w14:paraId="7FE67B1B" w14:textId="77777777" w:rsidR="006E5E61" w:rsidRDefault="006E5E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E211" w14:textId="77777777" w:rsidR="005430F4" w:rsidRDefault="00B15ED3">
    <w:pPr>
      <w:pStyle w:val="Header"/>
    </w:pPr>
    <w:r>
      <w:t>PUC Counsel Report</w:t>
    </w:r>
  </w:p>
  <w:p w14:paraId="1DDCE491" w14:textId="4C22BE7E" w:rsidR="008D5312" w:rsidRDefault="0010691C">
    <w:pPr>
      <w:pStyle w:val="Header"/>
    </w:pPr>
    <w:r>
      <w:t>GWA</w:t>
    </w:r>
    <w:r w:rsidR="00B61244">
      <w:t>’s Motion for Reconsideration</w:t>
    </w:r>
    <w:r>
      <w:t xml:space="preserve"> for Approval </w:t>
    </w:r>
  </w:p>
  <w:p w14:paraId="708D756A" w14:textId="37B10C90" w:rsidR="00B27B06" w:rsidRDefault="00B27B06">
    <w:pPr>
      <w:pStyle w:val="Header"/>
    </w:pPr>
    <w:r>
      <w:t>of GWA’s</w:t>
    </w:r>
    <w:r w:rsidR="008D5312">
      <w:t xml:space="preserve"> </w:t>
    </w:r>
    <w:r>
      <w:t>Enterprise Resource Planning System</w:t>
    </w:r>
  </w:p>
  <w:p w14:paraId="3987FCC6" w14:textId="1EE00B74" w:rsidR="00B27B06" w:rsidRDefault="00B27B06">
    <w:pPr>
      <w:pStyle w:val="Header"/>
    </w:pPr>
    <w:r>
      <w:t>Upgrade</w:t>
    </w:r>
  </w:p>
  <w:p w14:paraId="4F5A302A" w14:textId="49E3E44A" w:rsidR="00B15ED3" w:rsidRDefault="00B15ED3">
    <w:pPr>
      <w:pStyle w:val="Header"/>
    </w:pPr>
    <w:r>
      <w:t>G</w:t>
    </w:r>
    <w:r w:rsidR="00AC4068">
      <w:t>W</w:t>
    </w:r>
    <w:r>
      <w:t xml:space="preserve">A Docket </w:t>
    </w:r>
    <w:r w:rsidR="00C05709">
      <w:t>20</w:t>
    </w:r>
    <w:r>
      <w:t>-</w:t>
    </w:r>
    <w:r w:rsidR="00312015">
      <w:t>0</w:t>
    </w:r>
    <w:r w:rsidR="00B27B06">
      <w:t>4</w:t>
    </w:r>
  </w:p>
  <w:p w14:paraId="51F6A2E2" w14:textId="53BF0C20" w:rsidR="00B15ED3" w:rsidRDefault="00B61244">
    <w:pPr>
      <w:pStyle w:val="Header"/>
    </w:pPr>
    <w:r>
      <w:t>June 22</w:t>
    </w:r>
    <w:r w:rsidR="006D65A7">
      <w:t>, 20</w:t>
    </w:r>
    <w:r w:rsidR="00C05709">
      <w:t>20</w:t>
    </w:r>
  </w:p>
  <w:p w14:paraId="7DD399F4" w14:textId="77777777" w:rsidR="00B15ED3" w:rsidRDefault="00B15ED3">
    <w:pPr>
      <w:pStyle w:val="Header"/>
    </w:pPr>
    <w:r>
      <w:t>_______________________________</w:t>
    </w:r>
    <w:r w:rsidR="007339A7">
      <w:t>__</w:t>
    </w:r>
  </w:p>
  <w:p w14:paraId="39C62E63" w14:textId="77777777" w:rsidR="00B15ED3" w:rsidRDefault="00B1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1F39"/>
    <w:multiLevelType w:val="hybridMultilevel"/>
    <w:tmpl w:val="25EA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F"/>
    <w:rsid w:val="000008D4"/>
    <w:rsid w:val="000046BC"/>
    <w:rsid w:val="00006D07"/>
    <w:rsid w:val="00022983"/>
    <w:rsid w:val="0002735F"/>
    <w:rsid w:val="00040B56"/>
    <w:rsid w:val="00045235"/>
    <w:rsid w:val="00052173"/>
    <w:rsid w:val="00085EF8"/>
    <w:rsid w:val="00095AE6"/>
    <w:rsid w:val="000A047A"/>
    <w:rsid w:val="000C722E"/>
    <w:rsid w:val="000C7AA1"/>
    <w:rsid w:val="000D3CC1"/>
    <w:rsid w:val="000D468C"/>
    <w:rsid w:val="000D653D"/>
    <w:rsid w:val="000E2EC6"/>
    <w:rsid w:val="000F4881"/>
    <w:rsid w:val="000F5EA8"/>
    <w:rsid w:val="0010487C"/>
    <w:rsid w:val="0010691C"/>
    <w:rsid w:val="00111F50"/>
    <w:rsid w:val="00134273"/>
    <w:rsid w:val="00144F4E"/>
    <w:rsid w:val="001459E1"/>
    <w:rsid w:val="00145FC9"/>
    <w:rsid w:val="00163168"/>
    <w:rsid w:val="001B13B7"/>
    <w:rsid w:val="001B752A"/>
    <w:rsid w:val="001C0C7C"/>
    <w:rsid w:val="001C29FB"/>
    <w:rsid w:val="001C50A0"/>
    <w:rsid w:val="001D62FD"/>
    <w:rsid w:val="002139D4"/>
    <w:rsid w:val="00232E76"/>
    <w:rsid w:val="00246180"/>
    <w:rsid w:val="0024694F"/>
    <w:rsid w:val="002518EE"/>
    <w:rsid w:val="00265148"/>
    <w:rsid w:val="0026560F"/>
    <w:rsid w:val="002768C1"/>
    <w:rsid w:val="00282395"/>
    <w:rsid w:val="00287D89"/>
    <w:rsid w:val="002C3B0F"/>
    <w:rsid w:val="002C4900"/>
    <w:rsid w:val="002E1A5A"/>
    <w:rsid w:val="002F13EE"/>
    <w:rsid w:val="002F6E53"/>
    <w:rsid w:val="002F7389"/>
    <w:rsid w:val="00302A47"/>
    <w:rsid w:val="00312015"/>
    <w:rsid w:val="003373C3"/>
    <w:rsid w:val="00341C71"/>
    <w:rsid w:val="00351D6A"/>
    <w:rsid w:val="003544D6"/>
    <w:rsid w:val="00355870"/>
    <w:rsid w:val="00363FA7"/>
    <w:rsid w:val="00364A0E"/>
    <w:rsid w:val="003730DC"/>
    <w:rsid w:val="00396061"/>
    <w:rsid w:val="003A1570"/>
    <w:rsid w:val="003B4B00"/>
    <w:rsid w:val="003B7AD5"/>
    <w:rsid w:val="003C48EE"/>
    <w:rsid w:val="003D3F87"/>
    <w:rsid w:val="003D5722"/>
    <w:rsid w:val="003D5F1F"/>
    <w:rsid w:val="003E67FC"/>
    <w:rsid w:val="003F1679"/>
    <w:rsid w:val="00402839"/>
    <w:rsid w:val="00411F30"/>
    <w:rsid w:val="00417CB1"/>
    <w:rsid w:val="00425201"/>
    <w:rsid w:val="00434FB1"/>
    <w:rsid w:val="00447F62"/>
    <w:rsid w:val="00463D3B"/>
    <w:rsid w:val="00472B36"/>
    <w:rsid w:val="0048503C"/>
    <w:rsid w:val="0049145A"/>
    <w:rsid w:val="004949C5"/>
    <w:rsid w:val="004B38AE"/>
    <w:rsid w:val="004B4036"/>
    <w:rsid w:val="004D56DE"/>
    <w:rsid w:val="004E2F29"/>
    <w:rsid w:val="004E4C8E"/>
    <w:rsid w:val="004F3C7F"/>
    <w:rsid w:val="005028EC"/>
    <w:rsid w:val="00505BB2"/>
    <w:rsid w:val="005147CA"/>
    <w:rsid w:val="00532651"/>
    <w:rsid w:val="00536178"/>
    <w:rsid w:val="005430F4"/>
    <w:rsid w:val="0054481C"/>
    <w:rsid w:val="00547BD0"/>
    <w:rsid w:val="0055180C"/>
    <w:rsid w:val="00553242"/>
    <w:rsid w:val="005616E6"/>
    <w:rsid w:val="00561B60"/>
    <w:rsid w:val="00581365"/>
    <w:rsid w:val="005820AB"/>
    <w:rsid w:val="00591DF9"/>
    <w:rsid w:val="00594DD8"/>
    <w:rsid w:val="005956A0"/>
    <w:rsid w:val="005A2531"/>
    <w:rsid w:val="005A66A4"/>
    <w:rsid w:val="005B0E9F"/>
    <w:rsid w:val="005B2528"/>
    <w:rsid w:val="005C327A"/>
    <w:rsid w:val="005E1672"/>
    <w:rsid w:val="00602423"/>
    <w:rsid w:val="00615404"/>
    <w:rsid w:val="00616B47"/>
    <w:rsid w:val="006267B4"/>
    <w:rsid w:val="006621C5"/>
    <w:rsid w:val="006726B0"/>
    <w:rsid w:val="00674DC9"/>
    <w:rsid w:val="0067561D"/>
    <w:rsid w:val="00676F5B"/>
    <w:rsid w:val="00685C9A"/>
    <w:rsid w:val="00690B44"/>
    <w:rsid w:val="006A597E"/>
    <w:rsid w:val="006B5A13"/>
    <w:rsid w:val="006D170D"/>
    <w:rsid w:val="006D2E9F"/>
    <w:rsid w:val="006D65A7"/>
    <w:rsid w:val="006E0DE1"/>
    <w:rsid w:val="006E3058"/>
    <w:rsid w:val="006E5E61"/>
    <w:rsid w:val="006F7F8B"/>
    <w:rsid w:val="00713E7C"/>
    <w:rsid w:val="00715FF9"/>
    <w:rsid w:val="00727130"/>
    <w:rsid w:val="007309FF"/>
    <w:rsid w:val="00730EAC"/>
    <w:rsid w:val="007339A7"/>
    <w:rsid w:val="007368D9"/>
    <w:rsid w:val="007419AE"/>
    <w:rsid w:val="007510EA"/>
    <w:rsid w:val="00751D0C"/>
    <w:rsid w:val="00753433"/>
    <w:rsid w:val="00756E26"/>
    <w:rsid w:val="0076041A"/>
    <w:rsid w:val="0077191B"/>
    <w:rsid w:val="00782C4F"/>
    <w:rsid w:val="007838A0"/>
    <w:rsid w:val="007A7990"/>
    <w:rsid w:val="007B05FA"/>
    <w:rsid w:val="007C4933"/>
    <w:rsid w:val="007C55E6"/>
    <w:rsid w:val="007D6F5B"/>
    <w:rsid w:val="007D7E86"/>
    <w:rsid w:val="007E1775"/>
    <w:rsid w:val="007E361B"/>
    <w:rsid w:val="007F1CB6"/>
    <w:rsid w:val="008008E3"/>
    <w:rsid w:val="008048FA"/>
    <w:rsid w:val="00807BA1"/>
    <w:rsid w:val="00807FE6"/>
    <w:rsid w:val="00811A1D"/>
    <w:rsid w:val="00813D7C"/>
    <w:rsid w:val="00820FF4"/>
    <w:rsid w:val="008263B4"/>
    <w:rsid w:val="0083587C"/>
    <w:rsid w:val="00842970"/>
    <w:rsid w:val="00844742"/>
    <w:rsid w:val="00845584"/>
    <w:rsid w:val="00845E86"/>
    <w:rsid w:val="008466BE"/>
    <w:rsid w:val="00851C97"/>
    <w:rsid w:val="00851E73"/>
    <w:rsid w:val="00874328"/>
    <w:rsid w:val="00876674"/>
    <w:rsid w:val="00892FB5"/>
    <w:rsid w:val="008B1075"/>
    <w:rsid w:val="008C27A9"/>
    <w:rsid w:val="008C3EA1"/>
    <w:rsid w:val="008C4716"/>
    <w:rsid w:val="008C627E"/>
    <w:rsid w:val="008C663C"/>
    <w:rsid w:val="008D43D1"/>
    <w:rsid w:val="008D5312"/>
    <w:rsid w:val="008E632C"/>
    <w:rsid w:val="008F118A"/>
    <w:rsid w:val="008F5730"/>
    <w:rsid w:val="00904E2D"/>
    <w:rsid w:val="00905B9D"/>
    <w:rsid w:val="00923C98"/>
    <w:rsid w:val="00942665"/>
    <w:rsid w:val="00946F1C"/>
    <w:rsid w:val="0096508B"/>
    <w:rsid w:val="009674A9"/>
    <w:rsid w:val="00991752"/>
    <w:rsid w:val="009972B7"/>
    <w:rsid w:val="009A386C"/>
    <w:rsid w:val="009A530F"/>
    <w:rsid w:val="009B3A5F"/>
    <w:rsid w:val="009B7150"/>
    <w:rsid w:val="009C377F"/>
    <w:rsid w:val="009D4EA4"/>
    <w:rsid w:val="00A039AD"/>
    <w:rsid w:val="00A2164D"/>
    <w:rsid w:val="00A32DA2"/>
    <w:rsid w:val="00A33802"/>
    <w:rsid w:val="00A46BF1"/>
    <w:rsid w:val="00A74013"/>
    <w:rsid w:val="00A805FE"/>
    <w:rsid w:val="00A87897"/>
    <w:rsid w:val="00A901A6"/>
    <w:rsid w:val="00A93F09"/>
    <w:rsid w:val="00AA2CDC"/>
    <w:rsid w:val="00AA3BC4"/>
    <w:rsid w:val="00AC02E1"/>
    <w:rsid w:val="00AC367F"/>
    <w:rsid w:val="00AC4068"/>
    <w:rsid w:val="00AC7EFB"/>
    <w:rsid w:val="00AD1EFD"/>
    <w:rsid w:val="00AD2542"/>
    <w:rsid w:val="00AD5865"/>
    <w:rsid w:val="00AF2E43"/>
    <w:rsid w:val="00B00028"/>
    <w:rsid w:val="00B00077"/>
    <w:rsid w:val="00B02DE9"/>
    <w:rsid w:val="00B15ED3"/>
    <w:rsid w:val="00B27B06"/>
    <w:rsid w:val="00B30777"/>
    <w:rsid w:val="00B47624"/>
    <w:rsid w:val="00B61244"/>
    <w:rsid w:val="00B63D4F"/>
    <w:rsid w:val="00B81CD4"/>
    <w:rsid w:val="00B842A8"/>
    <w:rsid w:val="00B8719A"/>
    <w:rsid w:val="00B95EA9"/>
    <w:rsid w:val="00BA38AE"/>
    <w:rsid w:val="00BA38F7"/>
    <w:rsid w:val="00BA4C73"/>
    <w:rsid w:val="00BA604D"/>
    <w:rsid w:val="00BA7548"/>
    <w:rsid w:val="00BB3FE5"/>
    <w:rsid w:val="00BC6D62"/>
    <w:rsid w:val="00BC7AB3"/>
    <w:rsid w:val="00BE4AD1"/>
    <w:rsid w:val="00BF787D"/>
    <w:rsid w:val="00C0561D"/>
    <w:rsid w:val="00C05709"/>
    <w:rsid w:val="00C11E3E"/>
    <w:rsid w:val="00C17241"/>
    <w:rsid w:val="00C24279"/>
    <w:rsid w:val="00C243A6"/>
    <w:rsid w:val="00C24D1A"/>
    <w:rsid w:val="00C32057"/>
    <w:rsid w:val="00C34F06"/>
    <w:rsid w:val="00C500A0"/>
    <w:rsid w:val="00C553FE"/>
    <w:rsid w:val="00C6007D"/>
    <w:rsid w:val="00C63464"/>
    <w:rsid w:val="00C66FEE"/>
    <w:rsid w:val="00C75F8B"/>
    <w:rsid w:val="00C77C29"/>
    <w:rsid w:val="00C95E94"/>
    <w:rsid w:val="00CA5580"/>
    <w:rsid w:val="00CB0AF2"/>
    <w:rsid w:val="00CB7570"/>
    <w:rsid w:val="00CD6CBF"/>
    <w:rsid w:val="00CE2A8A"/>
    <w:rsid w:val="00CF02A3"/>
    <w:rsid w:val="00D03244"/>
    <w:rsid w:val="00D03B2F"/>
    <w:rsid w:val="00D07669"/>
    <w:rsid w:val="00D1172E"/>
    <w:rsid w:val="00D1594E"/>
    <w:rsid w:val="00D2168A"/>
    <w:rsid w:val="00D37DBA"/>
    <w:rsid w:val="00D43C0A"/>
    <w:rsid w:val="00D54C91"/>
    <w:rsid w:val="00D647FE"/>
    <w:rsid w:val="00DA0166"/>
    <w:rsid w:val="00DA0660"/>
    <w:rsid w:val="00DB394E"/>
    <w:rsid w:val="00DB6823"/>
    <w:rsid w:val="00DB79C1"/>
    <w:rsid w:val="00DD1543"/>
    <w:rsid w:val="00DD1657"/>
    <w:rsid w:val="00DD2947"/>
    <w:rsid w:val="00DD3AD1"/>
    <w:rsid w:val="00DD5D5C"/>
    <w:rsid w:val="00E050DE"/>
    <w:rsid w:val="00E21D09"/>
    <w:rsid w:val="00E324BC"/>
    <w:rsid w:val="00E33E86"/>
    <w:rsid w:val="00E43AC5"/>
    <w:rsid w:val="00E5769A"/>
    <w:rsid w:val="00E57ADA"/>
    <w:rsid w:val="00E60E8B"/>
    <w:rsid w:val="00E64DB9"/>
    <w:rsid w:val="00E836F0"/>
    <w:rsid w:val="00E87B61"/>
    <w:rsid w:val="00EA583E"/>
    <w:rsid w:val="00EA6295"/>
    <w:rsid w:val="00EC5BA4"/>
    <w:rsid w:val="00ED0DCC"/>
    <w:rsid w:val="00ED14DD"/>
    <w:rsid w:val="00EE1CC5"/>
    <w:rsid w:val="00EE2E82"/>
    <w:rsid w:val="00EF2FBB"/>
    <w:rsid w:val="00EF7968"/>
    <w:rsid w:val="00F004A4"/>
    <w:rsid w:val="00F01CFA"/>
    <w:rsid w:val="00F07E99"/>
    <w:rsid w:val="00F360E8"/>
    <w:rsid w:val="00F534B1"/>
    <w:rsid w:val="00F541DE"/>
    <w:rsid w:val="00F64F85"/>
    <w:rsid w:val="00F719BF"/>
    <w:rsid w:val="00F81100"/>
    <w:rsid w:val="00F9235D"/>
    <w:rsid w:val="00F96E00"/>
    <w:rsid w:val="00FB38A7"/>
    <w:rsid w:val="00FB5080"/>
    <w:rsid w:val="00FD52D9"/>
    <w:rsid w:val="00FF0ED9"/>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0B379"/>
  <w15:docId w15:val="{B049B9F1-280E-484A-A3EE-539A5C7A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4F"/>
    <w:pPr>
      <w:spacing w:line="508" w:lineRule="exact"/>
    </w:pPr>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782C4F"/>
    <w:pPr>
      <w:spacing w:line="254" w:lineRule="exact"/>
    </w:pPr>
  </w:style>
  <w:style w:type="paragraph" w:styleId="FootnoteText">
    <w:name w:val="footnote text"/>
    <w:basedOn w:val="Normal"/>
    <w:link w:val="FootnoteTextChar"/>
    <w:uiPriority w:val="99"/>
    <w:semiHidden/>
    <w:unhideWhenUsed/>
    <w:rsid w:val="00782C4F"/>
    <w:pPr>
      <w:spacing w:line="240" w:lineRule="auto"/>
    </w:pPr>
  </w:style>
  <w:style w:type="character" w:customStyle="1" w:styleId="FootnoteTextChar">
    <w:name w:val="Footnote Text Char"/>
    <w:basedOn w:val="DefaultParagraphFont"/>
    <w:link w:val="FootnoteText"/>
    <w:uiPriority w:val="99"/>
    <w:semiHidden/>
    <w:rsid w:val="00782C4F"/>
    <w:rPr>
      <w:rFonts w:ascii="Book Antiqua" w:eastAsia="Times New Roman" w:hAnsi="Book Antiqua" w:cs="Times New Roman"/>
      <w:sz w:val="20"/>
      <w:szCs w:val="20"/>
    </w:rPr>
  </w:style>
  <w:style w:type="character" w:styleId="FootnoteReference">
    <w:name w:val="footnote reference"/>
    <w:basedOn w:val="DefaultParagraphFont"/>
    <w:uiPriority w:val="99"/>
    <w:semiHidden/>
    <w:unhideWhenUsed/>
    <w:rsid w:val="00782C4F"/>
    <w:rPr>
      <w:vertAlign w:val="superscript"/>
    </w:rPr>
  </w:style>
  <w:style w:type="paragraph" w:styleId="Header">
    <w:name w:val="header"/>
    <w:basedOn w:val="Normal"/>
    <w:link w:val="HeaderChar"/>
    <w:uiPriority w:val="99"/>
    <w:unhideWhenUsed/>
    <w:rsid w:val="00782C4F"/>
    <w:pPr>
      <w:tabs>
        <w:tab w:val="center" w:pos="4680"/>
        <w:tab w:val="right" w:pos="9360"/>
      </w:tabs>
      <w:spacing w:line="240" w:lineRule="auto"/>
    </w:pPr>
  </w:style>
  <w:style w:type="character" w:customStyle="1" w:styleId="HeaderChar">
    <w:name w:val="Header Char"/>
    <w:basedOn w:val="DefaultParagraphFont"/>
    <w:link w:val="Header"/>
    <w:uiPriority w:val="99"/>
    <w:rsid w:val="00782C4F"/>
    <w:rPr>
      <w:rFonts w:ascii="Book Antiqua" w:eastAsia="Times New Roman" w:hAnsi="Book Antiqua" w:cs="Times New Roman"/>
      <w:sz w:val="20"/>
      <w:szCs w:val="20"/>
    </w:rPr>
  </w:style>
  <w:style w:type="paragraph" w:styleId="Footer">
    <w:name w:val="footer"/>
    <w:basedOn w:val="Normal"/>
    <w:link w:val="FooterChar"/>
    <w:uiPriority w:val="99"/>
    <w:unhideWhenUsed/>
    <w:rsid w:val="00782C4F"/>
    <w:pPr>
      <w:tabs>
        <w:tab w:val="center" w:pos="4680"/>
        <w:tab w:val="right" w:pos="9360"/>
      </w:tabs>
      <w:spacing w:line="240" w:lineRule="auto"/>
    </w:pPr>
  </w:style>
  <w:style w:type="character" w:customStyle="1" w:styleId="FooterChar">
    <w:name w:val="Footer Char"/>
    <w:basedOn w:val="DefaultParagraphFont"/>
    <w:link w:val="Footer"/>
    <w:uiPriority w:val="99"/>
    <w:rsid w:val="00782C4F"/>
    <w:rPr>
      <w:rFonts w:ascii="Book Antiqua" w:eastAsia="Times New Roman" w:hAnsi="Book Antiqua" w:cs="Times New Roman"/>
      <w:sz w:val="20"/>
      <w:szCs w:val="20"/>
    </w:rPr>
  </w:style>
  <w:style w:type="paragraph" w:styleId="ListParagraph">
    <w:name w:val="List Paragraph"/>
    <w:basedOn w:val="Normal"/>
    <w:uiPriority w:val="34"/>
    <w:qFormat/>
    <w:rsid w:val="00ED0DCC"/>
    <w:pPr>
      <w:ind w:left="720"/>
      <w:contextualSpacing/>
    </w:pPr>
  </w:style>
  <w:style w:type="paragraph" w:styleId="BalloonText">
    <w:name w:val="Balloon Text"/>
    <w:basedOn w:val="Normal"/>
    <w:link w:val="BalloonTextChar"/>
    <w:uiPriority w:val="99"/>
    <w:semiHidden/>
    <w:unhideWhenUsed/>
    <w:rsid w:val="00022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B66F-778E-403F-BF42-4ECB11ED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Owner1</dc:creator>
  <cp:lastModifiedBy>legalcounsel</cp:lastModifiedBy>
  <cp:revision>4</cp:revision>
  <cp:lastPrinted>2018-04-18T05:28:00Z</cp:lastPrinted>
  <dcterms:created xsi:type="dcterms:W3CDTF">2020-06-22T00:39:00Z</dcterms:created>
  <dcterms:modified xsi:type="dcterms:W3CDTF">2020-06-22T01:29:00Z</dcterms:modified>
</cp:coreProperties>
</file>