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B0C1" w14:textId="77777777" w:rsidR="00782C4F" w:rsidRPr="00BE2688" w:rsidRDefault="00782C4F" w:rsidP="006E3058">
      <w:pPr>
        <w:spacing w:line="240" w:lineRule="auto"/>
        <w:jc w:val="center"/>
        <w:rPr>
          <w:b/>
          <w:sz w:val="24"/>
          <w:szCs w:val="24"/>
        </w:rPr>
      </w:pPr>
      <w:r w:rsidRPr="00BE2688">
        <w:rPr>
          <w:b/>
          <w:sz w:val="24"/>
          <w:szCs w:val="24"/>
        </w:rPr>
        <w:t>BEFORE THE GUAM PUBLIC UTILITIES COMMISSION</w:t>
      </w:r>
    </w:p>
    <w:p w14:paraId="5B9FD738" w14:textId="77777777" w:rsidR="00782C4F" w:rsidRPr="00BE2688" w:rsidRDefault="00782C4F" w:rsidP="006E3058">
      <w:pPr>
        <w:spacing w:line="240" w:lineRule="auto"/>
        <w:jc w:val="center"/>
        <w:rPr>
          <w:b/>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782C4F" w:rsidRPr="00BE2688" w14:paraId="05ED81CD" w14:textId="77777777" w:rsidTr="00E963CB">
        <w:tc>
          <w:tcPr>
            <w:tcW w:w="4542" w:type="dxa"/>
            <w:tcBorders>
              <w:bottom w:val="single" w:sz="4" w:space="0" w:color="auto"/>
            </w:tcBorders>
            <w:shd w:val="clear" w:color="auto" w:fill="auto"/>
          </w:tcPr>
          <w:p w14:paraId="1E1069F8" w14:textId="77777777" w:rsidR="00782C4F" w:rsidRPr="00BE2688" w:rsidRDefault="00782C4F" w:rsidP="006E3058">
            <w:pPr>
              <w:spacing w:line="240" w:lineRule="auto"/>
              <w:ind w:left="1620"/>
              <w:rPr>
                <w:b/>
                <w:sz w:val="24"/>
                <w:szCs w:val="24"/>
              </w:rPr>
            </w:pPr>
            <w:bookmarkStart w:id="0" w:name="Parties"/>
            <w:bookmarkEnd w:id="0"/>
          </w:p>
          <w:p w14:paraId="76BE14C6" w14:textId="77777777" w:rsidR="00782C4F" w:rsidRPr="00BE2688" w:rsidRDefault="00782C4F" w:rsidP="006E3058">
            <w:pPr>
              <w:spacing w:line="240" w:lineRule="auto"/>
              <w:rPr>
                <w:b/>
                <w:sz w:val="24"/>
                <w:szCs w:val="24"/>
              </w:rPr>
            </w:pPr>
            <w:r w:rsidRPr="00BE2688">
              <w:rPr>
                <w:b/>
                <w:sz w:val="24"/>
                <w:szCs w:val="24"/>
              </w:rPr>
              <w:t>IN THE MATTER OF:</w:t>
            </w:r>
          </w:p>
          <w:p w14:paraId="752FED48" w14:textId="77777777" w:rsidR="00782C4F" w:rsidRDefault="00782C4F" w:rsidP="006E3058">
            <w:pPr>
              <w:spacing w:line="240" w:lineRule="auto"/>
              <w:rPr>
                <w:b/>
                <w:sz w:val="24"/>
                <w:szCs w:val="24"/>
              </w:rPr>
            </w:pPr>
          </w:p>
          <w:p w14:paraId="4AAEDF03" w14:textId="4D3D214F" w:rsidR="00782C4F" w:rsidRPr="00BE2688" w:rsidRDefault="00782C4F" w:rsidP="006E3058">
            <w:pPr>
              <w:spacing w:line="240" w:lineRule="auto"/>
              <w:rPr>
                <w:b/>
                <w:sz w:val="24"/>
                <w:szCs w:val="24"/>
              </w:rPr>
            </w:pPr>
            <w:r>
              <w:rPr>
                <w:b/>
                <w:sz w:val="24"/>
                <w:szCs w:val="24"/>
              </w:rPr>
              <w:t xml:space="preserve">THE </w:t>
            </w:r>
            <w:r w:rsidR="007D3E38">
              <w:rPr>
                <w:b/>
                <w:sz w:val="24"/>
                <w:szCs w:val="24"/>
              </w:rPr>
              <w:t xml:space="preserve">APPLICATION OF THE </w:t>
            </w:r>
            <w:r w:rsidR="0048503C">
              <w:rPr>
                <w:b/>
                <w:sz w:val="24"/>
                <w:szCs w:val="24"/>
              </w:rPr>
              <w:t>GUAM</w:t>
            </w:r>
            <w:r w:rsidR="007D3E38">
              <w:rPr>
                <w:b/>
                <w:sz w:val="24"/>
                <w:szCs w:val="24"/>
              </w:rPr>
              <w:t xml:space="preserve"> POWER</w:t>
            </w:r>
            <w:r>
              <w:rPr>
                <w:b/>
                <w:sz w:val="24"/>
                <w:szCs w:val="24"/>
              </w:rPr>
              <w:t xml:space="preserve"> AUTHORITY</w:t>
            </w:r>
            <w:r w:rsidR="007D3E38">
              <w:rPr>
                <w:b/>
                <w:sz w:val="24"/>
                <w:szCs w:val="24"/>
              </w:rPr>
              <w:t xml:space="preserve"> TO APPROVE</w:t>
            </w:r>
            <w:r>
              <w:rPr>
                <w:b/>
                <w:sz w:val="24"/>
                <w:szCs w:val="24"/>
              </w:rPr>
              <w:t xml:space="preserve"> </w:t>
            </w:r>
            <w:r w:rsidR="007D3E38">
              <w:rPr>
                <w:b/>
                <w:sz w:val="24"/>
                <w:szCs w:val="24"/>
              </w:rPr>
              <w:t xml:space="preserve">THE </w:t>
            </w:r>
            <w:r w:rsidR="00C4448D">
              <w:rPr>
                <w:b/>
                <w:sz w:val="24"/>
                <w:szCs w:val="24"/>
              </w:rPr>
              <w:t xml:space="preserve">MONTH TO MONTH </w:t>
            </w:r>
            <w:r w:rsidR="007D3E38">
              <w:rPr>
                <w:b/>
                <w:sz w:val="24"/>
                <w:szCs w:val="24"/>
              </w:rPr>
              <w:t>EXTENSION</w:t>
            </w:r>
            <w:r w:rsidR="005C327A">
              <w:rPr>
                <w:b/>
                <w:sz w:val="24"/>
                <w:szCs w:val="24"/>
              </w:rPr>
              <w:t xml:space="preserve"> </w:t>
            </w:r>
            <w:r w:rsidR="00C17241">
              <w:rPr>
                <w:b/>
                <w:sz w:val="24"/>
                <w:szCs w:val="24"/>
              </w:rPr>
              <w:t>FOR</w:t>
            </w:r>
            <w:r w:rsidR="007D3E38">
              <w:rPr>
                <w:b/>
                <w:sz w:val="24"/>
                <w:szCs w:val="24"/>
              </w:rPr>
              <w:t xml:space="preserve"> PROFESSIONAL PRINTING, MAILING, AND </w:t>
            </w:r>
            <w:r w:rsidR="00C4448D">
              <w:rPr>
                <w:b/>
                <w:sz w:val="24"/>
                <w:szCs w:val="24"/>
              </w:rPr>
              <w:t>PROCESSING</w:t>
            </w:r>
            <w:r w:rsidR="007D3E38">
              <w:rPr>
                <w:b/>
                <w:sz w:val="24"/>
                <w:szCs w:val="24"/>
              </w:rPr>
              <w:t xml:space="preserve"> SERVICES</w:t>
            </w:r>
            <w:r w:rsidR="00602423">
              <w:rPr>
                <w:b/>
                <w:sz w:val="24"/>
                <w:szCs w:val="24"/>
              </w:rPr>
              <w:t xml:space="preserve"> </w:t>
            </w:r>
          </w:p>
        </w:tc>
        <w:tc>
          <w:tcPr>
            <w:tcW w:w="276" w:type="dxa"/>
            <w:shd w:val="clear" w:color="auto" w:fill="auto"/>
          </w:tcPr>
          <w:p w14:paraId="31AE59AC" w14:textId="77777777" w:rsidR="00782C4F" w:rsidRPr="00BE2688" w:rsidRDefault="00782C4F" w:rsidP="006E3058">
            <w:pPr>
              <w:pStyle w:val="SingleSpacing"/>
              <w:spacing w:line="240" w:lineRule="auto"/>
              <w:rPr>
                <w:b/>
                <w:sz w:val="24"/>
                <w:szCs w:val="24"/>
              </w:rPr>
            </w:pPr>
            <w:r w:rsidRPr="00BE2688">
              <w:rPr>
                <w:b/>
                <w:sz w:val="24"/>
                <w:szCs w:val="24"/>
              </w:rPr>
              <w:t>)</w:t>
            </w:r>
          </w:p>
          <w:p w14:paraId="08B2DE53" w14:textId="77777777" w:rsidR="00782C4F" w:rsidRPr="00BE2688" w:rsidRDefault="00782C4F" w:rsidP="006E3058">
            <w:pPr>
              <w:pStyle w:val="SingleSpacing"/>
              <w:spacing w:line="240" w:lineRule="auto"/>
              <w:rPr>
                <w:b/>
                <w:sz w:val="24"/>
                <w:szCs w:val="24"/>
              </w:rPr>
            </w:pPr>
            <w:r w:rsidRPr="00BE2688">
              <w:rPr>
                <w:b/>
                <w:sz w:val="24"/>
                <w:szCs w:val="24"/>
              </w:rPr>
              <w:t>)</w:t>
            </w:r>
          </w:p>
          <w:p w14:paraId="5107CA87" w14:textId="77777777" w:rsidR="00782C4F" w:rsidRPr="00BE2688" w:rsidRDefault="00782C4F" w:rsidP="006E3058">
            <w:pPr>
              <w:pStyle w:val="SingleSpacing"/>
              <w:spacing w:line="240" w:lineRule="auto"/>
              <w:rPr>
                <w:b/>
                <w:sz w:val="24"/>
                <w:szCs w:val="24"/>
              </w:rPr>
            </w:pPr>
            <w:r w:rsidRPr="00BE2688">
              <w:rPr>
                <w:b/>
                <w:sz w:val="24"/>
                <w:szCs w:val="24"/>
              </w:rPr>
              <w:t>)</w:t>
            </w:r>
          </w:p>
          <w:p w14:paraId="32F1759C" w14:textId="77777777" w:rsidR="00782C4F" w:rsidRPr="00BE2688" w:rsidRDefault="00782C4F" w:rsidP="006E3058">
            <w:pPr>
              <w:pStyle w:val="SingleSpacing"/>
              <w:spacing w:line="240" w:lineRule="auto"/>
              <w:rPr>
                <w:b/>
                <w:sz w:val="24"/>
                <w:szCs w:val="24"/>
              </w:rPr>
            </w:pPr>
            <w:r w:rsidRPr="00BE2688">
              <w:rPr>
                <w:b/>
                <w:sz w:val="24"/>
                <w:szCs w:val="24"/>
              </w:rPr>
              <w:t>)</w:t>
            </w:r>
          </w:p>
          <w:p w14:paraId="7439AFF8" w14:textId="77777777" w:rsidR="00782C4F" w:rsidRPr="00BE2688" w:rsidRDefault="00782C4F" w:rsidP="006E3058">
            <w:pPr>
              <w:pStyle w:val="SingleSpacing"/>
              <w:spacing w:line="240" w:lineRule="auto"/>
              <w:rPr>
                <w:b/>
                <w:sz w:val="24"/>
                <w:szCs w:val="24"/>
              </w:rPr>
            </w:pPr>
            <w:r w:rsidRPr="00BE2688">
              <w:rPr>
                <w:b/>
                <w:sz w:val="24"/>
                <w:szCs w:val="24"/>
              </w:rPr>
              <w:t>)</w:t>
            </w:r>
          </w:p>
          <w:p w14:paraId="6420B62D" w14:textId="77777777" w:rsidR="00782C4F" w:rsidRPr="00BE2688" w:rsidRDefault="00782C4F" w:rsidP="006E3058">
            <w:pPr>
              <w:pStyle w:val="SingleSpacing"/>
              <w:spacing w:line="240" w:lineRule="auto"/>
              <w:rPr>
                <w:b/>
                <w:sz w:val="24"/>
                <w:szCs w:val="24"/>
              </w:rPr>
            </w:pPr>
            <w:r w:rsidRPr="00BE2688">
              <w:rPr>
                <w:b/>
                <w:sz w:val="24"/>
                <w:szCs w:val="24"/>
              </w:rPr>
              <w:t>)</w:t>
            </w:r>
          </w:p>
          <w:p w14:paraId="55F9CA91" w14:textId="77777777" w:rsidR="00782C4F" w:rsidRPr="00BE2688" w:rsidRDefault="00782C4F" w:rsidP="006E3058">
            <w:pPr>
              <w:pStyle w:val="SingleSpacing"/>
              <w:spacing w:line="240" w:lineRule="auto"/>
              <w:rPr>
                <w:b/>
                <w:sz w:val="24"/>
                <w:szCs w:val="24"/>
              </w:rPr>
            </w:pPr>
            <w:r w:rsidRPr="00BE2688">
              <w:rPr>
                <w:b/>
                <w:sz w:val="24"/>
                <w:szCs w:val="24"/>
              </w:rPr>
              <w:t>)</w:t>
            </w:r>
          </w:p>
          <w:p w14:paraId="6C3FEBAD" w14:textId="77777777" w:rsidR="00782C4F" w:rsidRDefault="00782C4F" w:rsidP="006E3058">
            <w:pPr>
              <w:pStyle w:val="SingleSpacing"/>
              <w:spacing w:line="240" w:lineRule="auto"/>
              <w:rPr>
                <w:b/>
                <w:sz w:val="24"/>
                <w:szCs w:val="24"/>
              </w:rPr>
            </w:pPr>
            <w:r w:rsidRPr="00BE2688">
              <w:rPr>
                <w:b/>
                <w:sz w:val="24"/>
                <w:szCs w:val="24"/>
              </w:rPr>
              <w:t>)</w:t>
            </w:r>
          </w:p>
          <w:p w14:paraId="6ADCFDEE" w14:textId="6B414754" w:rsidR="004E4C8E" w:rsidRPr="00BE2688" w:rsidRDefault="004E4C8E" w:rsidP="006E3058">
            <w:pPr>
              <w:pStyle w:val="SingleSpacing"/>
              <w:spacing w:line="240" w:lineRule="auto"/>
              <w:rPr>
                <w:b/>
                <w:sz w:val="24"/>
                <w:szCs w:val="24"/>
              </w:rPr>
            </w:pPr>
            <w:r>
              <w:rPr>
                <w:b/>
                <w:sz w:val="24"/>
                <w:szCs w:val="24"/>
              </w:rPr>
              <w:t>)</w:t>
            </w:r>
          </w:p>
        </w:tc>
        <w:tc>
          <w:tcPr>
            <w:tcW w:w="4542" w:type="dxa"/>
            <w:shd w:val="clear" w:color="auto" w:fill="auto"/>
          </w:tcPr>
          <w:p w14:paraId="3B068AD3" w14:textId="77777777" w:rsidR="00782C4F" w:rsidRPr="00BE2688" w:rsidRDefault="00782C4F" w:rsidP="006E3058">
            <w:pPr>
              <w:pStyle w:val="SingleSpacing"/>
              <w:spacing w:line="240" w:lineRule="auto"/>
              <w:rPr>
                <w:b/>
                <w:sz w:val="24"/>
                <w:szCs w:val="24"/>
              </w:rPr>
            </w:pPr>
            <w:bookmarkStart w:id="1" w:name="CaseNumber"/>
            <w:bookmarkEnd w:id="1"/>
          </w:p>
          <w:p w14:paraId="050881C5" w14:textId="149D06DC" w:rsidR="00782C4F" w:rsidRPr="00BE2688" w:rsidRDefault="00782C4F" w:rsidP="006E3058">
            <w:pPr>
              <w:pStyle w:val="SingleSpacing"/>
              <w:spacing w:line="240" w:lineRule="auto"/>
              <w:rPr>
                <w:b/>
                <w:sz w:val="24"/>
                <w:szCs w:val="24"/>
              </w:rPr>
            </w:pPr>
            <w:r>
              <w:rPr>
                <w:b/>
                <w:sz w:val="24"/>
                <w:szCs w:val="24"/>
              </w:rPr>
              <w:t xml:space="preserve">       G</w:t>
            </w:r>
            <w:r w:rsidR="004D5C71">
              <w:rPr>
                <w:b/>
                <w:sz w:val="24"/>
                <w:szCs w:val="24"/>
              </w:rPr>
              <w:t>P</w:t>
            </w:r>
            <w:r>
              <w:rPr>
                <w:b/>
                <w:sz w:val="24"/>
                <w:szCs w:val="24"/>
              </w:rPr>
              <w:t xml:space="preserve">A DOCKET </w:t>
            </w:r>
            <w:r w:rsidR="00C17241">
              <w:rPr>
                <w:b/>
                <w:sz w:val="24"/>
                <w:szCs w:val="24"/>
              </w:rPr>
              <w:t>2</w:t>
            </w:r>
            <w:r w:rsidR="00C4448D">
              <w:rPr>
                <w:b/>
                <w:sz w:val="24"/>
                <w:szCs w:val="24"/>
              </w:rPr>
              <w:t>2</w:t>
            </w:r>
            <w:r>
              <w:rPr>
                <w:b/>
                <w:sz w:val="24"/>
                <w:szCs w:val="24"/>
              </w:rPr>
              <w:t>-</w:t>
            </w:r>
            <w:r w:rsidR="004D5C71">
              <w:rPr>
                <w:b/>
                <w:sz w:val="24"/>
                <w:szCs w:val="24"/>
              </w:rPr>
              <w:t>1</w:t>
            </w:r>
            <w:r w:rsidR="00C4448D">
              <w:rPr>
                <w:b/>
                <w:sz w:val="24"/>
                <w:szCs w:val="24"/>
              </w:rPr>
              <w:t>4</w:t>
            </w:r>
          </w:p>
          <w:p w14:paraId="32671020" w14:textId="77777777" w:rsidR="00782C4F" w:rsidRPr="00BE2688" w:rsidRDefault="00782C4F" w:rsidP="006E3058">
            <w:pPr>
              <w:pStyle w:val="SingleSpacing"/>
              <w:spacing w:line="240" w:lineRule="auto"/>
              <w:rPr>
                <w:b/>
                <w:sz w:val="24"/>
                <w:szCs w:val="24"/>
              </w:rPr>
            </w:pPr>
          </w:p>
          <w:p w14:paraId="36E25FE3" w14:textId="77777777" w:rsidR="00782C4F" w:rsidRPr="00BE2688" w:rsidRDefault="00782C4F" w:rsidP="006E3058">
            <w:pPr>
              <w:pStyle w:val="SingleSpacing"/>
              <w:spacing w:line="240" w:lineRule="auto"/>
              <w:rPr>
                <w:b/>
                <w:sz w:val="24"/>
                <w:szCs w:val="24"/>
              </w:rPr>
            </w:pPr>
          </w:p>
          <w:p w14:paraId="25854D26" w14:textId="09B93B42" w:rsidR="00782C4F" w:rsidRPr="00BE2688" w:rsidRDefault="00782C4F" w:rsidP="006E3058">
            <w:pPr>
              <w:pStyle w:val="SingleSpacing"/>
              <w:spacing w:line="240" w:lineRule="auto"/>
              <w:rPr>
                <w:b/>
                <w:sz w:val="24"/>
                <w:szCs w:val="24"/>
              </w:rPr>
            </w:pPr>
            <w:r>
              <w:rPr>
                <w:b/>
                <w:sz w:val="24"/>
                <w:szCs w:val="24"/>
              </w:rPr>
              <w:t xml:space="preserve">       PUC COUNSEL REPORT</w:t>
            </w:r>
          </w:p>
        </w:tc>
      </w:tr>
    </w:tbl>
    <w:p w14:paraId="03994488" w14:textId="77777777" w:rsidR="00EE1CC5" w:rsidRDefault="00EE1CC5" w:rsidP="006E3058">
      <w:pPr>
        <w:spacing w:line="240" w:lineRule="auto"/>
        <w:jc w:val="center"/>
        <w:rPr>
          <w:b/>
          <w:sz w:val="24"/>
          <w:szCs w:val="24"/>
          <w:u w:val="single"/>
        </w:rPr>
      </w:pPr>
    </w:p>
    <w:p w14:paraId="24B68A7A" w14:textId="77777777" w:rsidR="00A32DA2" w:rsidRDefault="00A32DA2" w:rsidP="006E3058">
      <w:pPr>
        <w:spacing w:line="240" w:lineRule="auto"/>
        <w:jc w:val="center"/>
        <w:rPr>
          <w:b/>
          <w:sz w:val="24"/>
          <w:szCs w:val="24"/>
          <w:u w:val="single"/>
        </w:rPr>
      </w:pPr>
    </w:p>
    <w:p w14:paraId="29E6CB95" w14:textId="5821D35D" w:rsidR="00782C4F" w:rsidRPr="00BE2688" w:rsidRDefault="00782C4F" w:rsidP="006E3058">
      <w:pPr>
        <w:spacing w:line="240" w:lineRule="auto"/>
        <w:jc w:val="center"/>
        <w:rPr>
          <w:b/>
          <w:sz w:val="24"/>
          <w:szCs w:val="24"/>
          <w:u w:val="single"/>
        </w:rPr>
      </w:pPr>
      <w:r w:rsidRPr="00BE2688">
        <w:rPr>
          <w:b/>
          <w:sz w:val="24"/>
          <w:szCs w:val="24"/>
          <w:u w:val="single"/>
        </w:rPr>
        <w:t>INTRODUCTION</w:t>
      </w:r>
    </w:p>
    <w:p w14:paraId="161CD31F" w14:textId="77777777" w:rsidR="00782C4F" w:rsidRDefault="00782C4F" w:rsidP="006E3058">
      <w:pPr>
        <w:spacing w:line="240" w:lineRule="auto"/>
        <w:ind w:left="432" w:hanging="432"/>
        <w:rPr>
          <w:sz w:val="24"/>
          <w:szCs w:val="24"/>
        </w:rPr>
      </w:pPr>
    </w:p>
    <w:p w14:paraId="1473F8D5" w14:textId="41EFCAED" w:rsidR="00C87980" w:rsidRDefault="00ED0DCC" w:rsidP="006E3058">
      <w:pPr>
        <w:spacing w:line="240" w:lineRule="auto"/>
        <w:ind w:left="432" w:hanging="432"/>
        <w:rPr>
          <w:sz w:val="24"/>
          <w:szCs w:val="24"/>
        </w:rPr>
      </w:pPr>
      <w:r w:rsidRPr="00ED0DCC">
        <w:rPr>
          <w:sz w:val="24"/>
          <w:szCs w:val="24"/>
        </w:rPr>
        <w:t>1.</w:t>
      </w:r>
      <w:r>
        <w:rPr>
          <w:sz w:val="24"/>
          <w:szCs w:val="24"/>
        </w:rPr>
        <w:tab/>
      </w:r>
      <w:r w:rsidR="00C87980">
        <w:rPr>
          <w:sz w:val="24"/>
          <w:szCs w:val="24"/>
        </w:rPr>
        <w:t xml:space="preserve">This matter comes before the Public Utilities Commission [“PUC”] pursuant to the </w:t>
      </w:r>
      <w:r w:rsidR="007D3E38">
        <w:rPr>
          <w:sz w:val="24"/>
          <w:szCs w:val="24"/>
        </w:rPr>
        <w:t>Guam Power Authority</w:t>
      </w:r>
      <w:r w:rsidR="00C87980">
        <w:rPr>
          <w:sz w:val="24"/>
          <w:szCs w:val="24"/>
        </w:rPr>
        <w:t>’s</w:t>
      </w:r>
      <w:r w:rsidR="007D3E38">
        <w:rPr>
          <w:sz w:val="24"/>
          <w:szCs w:val="24"/>
        </w:rPr>
        <w:t xml:space="preserve"> [“GPA”]</w:t>
      </w:r>
      <w:r w:rsidR="00C87980">
        <w:rPr>
          <w:sz w:val="24"/>
          <w:szCs w:val="24"/>
        </w:rPr>
        <w:t xml:space="preserve"> </w:t>
      </w:r>
      <w:r w:rsidR="007D3E38">
        <w:rPr>
          <w:sz w:val="24"/>
          <w:szCs w:val="24"/>
        </w:rPr>
        <w:t>Petition for Contract Review</w:t>
      </w:r>
      <w:r w:rsidR="00C87980">
        <w:rPr>
          <w:sz w:val="24"/>
          <w:szCs w:val="24"/>
        </w:rPr>
        <w:t>.</w:t>
      </w:r>
      <w:r w:rsidR="00C87980">
        <w:rPr>
          <w:rStyle w:val="FootnoteReference"/>
          <w:sz w:val="24"/>
          <w:szCs w:val="24"/>
        </w:rPr>
        <w:footnoteReference w:id="1"/>
      </w:r>
    </w:p>
    <w:p w14:paraId="4FAC1957" w14:textId="77777777" w:rsidR="00C87980" w:rsidRDefault="00C87980" w:rsidP="006E3058">
      <w:pPr>
        <w:spacing w:line="240" w:lineRule="auto"/>
        <w:ind w:left="432" w:hanging="432"/>
        <w:rPr>
          <w:sz w:val="24"/>
          <w:szCs w:val="24"/>
        </w:rPr>
      </w:pPr>
    </w:p>
    <w:p w14:paraId="39BDC8A9" w14:textId="021BDE20" w:rsidR="00C87980" w:rsidRDefault="00C87980" w:rsidP="006E3058">
      <w:pPr>
        <w:spacing w:line="240" w:lineRule="auto"/>
        <w:ind w:left="432" w:hanging="432"/>
        <w:rPr>
          <w:sz w:val="24"/>
          <w:szCs w:val="24"/>
        </w:rPr>
      </w:pPr>
      <w:r>
        <w:rPr>
          <w:sz w:val="24"/>
          <w:szCs w:val="24"/>
        </w:rPr>
        <w:t>2.</w:t>
      </w:r>
      <w:r>
        <w:rPr>
          <w:sz w:val="24"/>
          <w:szCs w:val="24"/>
        </w:rPr>
        <w:tab/>
        <w:t xml:space="preserve">The </w:t>
      </w:r>
      <w:r w:rsidR="001B509E">
        <w:rPr>
          <w:sz w:val="24"/>
          <w:szCs w:val="24"/>
        </w:rPr>
        <w:t xml:space="preserve">PUC’s July 29, 2021 Order in GPA Docket No. 21-11 which authorized GPA to extend </w:t>
      </w:r>
      <w:r w:rsidR="00AC574E" w:rsidRPr="00AC574E">
        <w:rPr>
          <w:sz w:val="24"/>
          <w:szCs w:val="24"/>
        </w:rPr>
        <w:t>GPA-Graphic Center, Inc., [“Graphic Center”] Contract for Professional Printing, Mailing, Processing, and Other Services</w:t>
      </w:r>
      <w:r w:rsidR="00AC574E">
        <w:rPr>
          <w:sz w:val="24"/>
          <w:szCs w:val="24"/>
        </w:rPr>
        <w:t xml:space="preserve"> </w:t>
      </w:r>
      <w:r w:rsidR="001B509E">
        <w:rPr>
          <w:sz w:val="24"/>
          <w:szCs w:val="24"/>
        </w:rPr>
        <w:t>on a month-to-month basis for up to eight (8) months or until GPA awards a new contract for those services will on or about May 31, 2022</w:t>
      </w:r>
      <w:r w:rsidR="00AC574E">
        <w:rPr>
          <w:sz w:val="24"/>
          <w:szCs w:val="24"/>
        </w:rPr>
        <w:t>.</w:t>
      </w:r>
      <w:r w:rsidR="00AC574E">
        <w:rPr>
          <w:rStyle w:val="FootnoteReference"/>
          <w:sz w:val="24"/>
          <w:szCs w:val="24"/>
        </w:rPr>
        <w:footnoteReference w:id="2"/>
      </w:r>
      <w:r w:rsidR="00AC574E">
        <w:rPr>
          <w:sz w:val="24"/>
          <w:szCs w:val="24"/>
        </w:rPr>
        <w:t xml:space="preserve"> </w:t>
      </w:r>
    </w:p>
    <w:p w14:paraId="4AD0ED0D" w14:textId="77777777" w:rsidR="00C87980" w:rsidRDefault="00C87980" w:rsidP="006E3058">
      <w:pPr>
        <w:spacing w:line="240" w:lineRule="auto"/>
        <w:ind w:left="432" w:hanging="432"/>
        <w:rPr>
          <w:sz w:val="24"/>
          <w:szCs w:val="24"/>
        </w:rPr>
      </w:pPr>
    </w:p>
    <w:p w14:paraId="456A8239" w14:textId="7002D360" w:rsidR="005C327A" w:rsidRDefault="00C87980" w:rsidP="00AC574E">
      <w:pPr>
        <w:spacing w:line="240" w:lineRule="auto"/>
        <w:ind w:left="432" w:hanging="432"/>
        <w:rPr>
          <w:sz w:val="24"/>
          <w:szCs w:val="24"/>
        </w:rPr>
      </w:pPr>
      <w:r>
        <w:rPr>
          <w:sz w:val="24"/>
          <w:szCs w:val="24"/>
        </w:rPr>
        <w:t>3.</w:t>
      </w:r>
      <w:r>
        <w:rPr>
          <w:sz w:val="24"/>
          <w:szCs w:val="24"/>
        </w:rPr>
        <w:tab/>
        <w:t xml:space="preserve">GPA </w:t>
      </w:r>
      <w:r w:rsidR="007D3E38">
        <w:rPr>
          <w:sz w:val="24"/>
          <w:szCs w:val="24"/>
        </w:rPr>
        <w:t>request</w:t>
      </w:r>
      <w:r>
        <w:rPr>
          <w:sz w:val="24"/>
          <w:szCs w:val="24"/>
        </w:rPr>
        <w:t>s</w:t>
      </w:r>
      <w:r w:rsidR="007D3E38">
        <w:rPr>
          <w:sz w:val="24"/>
          <w:szCs w:val="24"/>
        </w:rPr>
        <w:t xml:space="preserve"> that the </w:t>
      </w:r>
      <w:r w:rsidR="00782C4F" w:rsidRPr="00ED0DCC">
        <w:rPr>
          <w:sz w:val="24"/>
          <w:szCs w:val="24"/>
        </w:rPr>
        <w:t xml:space="preserve">PUC </w:t>
      </w:r>
      <w:r w:rsidR="007D3E38">
        <w:rPr>
          <w:sz w:val="24"/>
          <w:szCs w:val="24"/>
        </w:rPr>
        <w:t xml:space="preserve">approve a </w:t>
      </w:r>
      <w:r w:rsidR="001B509E">
        <w:rPr>
          <w:sz w:val="24"/>
          <w:szCs w:val="24"/>
        </w:rPr>
        <w:t>month-to</w:t>
      </w:r>
      <w:r w:rsidR="007D3E38">
        <w:rPr>
          <w:sz w:val="24"/>
          <w:szCs w:val="24"/>
        </w:rPr>
        <w:t>-month extension of the</w:t>
      </w:r>
      <w:r w:rsidR="00AC574E">
        <w:rPr>
          <w:sz w:val="24"/>
          <w:szCs w:val="24"/>
        </w:rPr>
        <w:t xml:space="preserve"> contract </w:t>
      </w:r>
      <w:r w:rsidR="001B509E">
        <w:rPr>
          <w:sz w:val="24"/>
          <w:szCs w:val="24"/>
        </w:rPr>
        <w:t xml:space="preserve">after May 31, 2022 </w:t>
      </w:r>
      <w:r w:rsidR="00AC574E">
        <w:rPr>
          <w:sz w:val="24"/>
          <w:szCs w:val="24"/>
        </w:rPr>
        <w:t>which</w:t>
      </w:r>
      <w:r w:rsidR="00221529">
        <w:rPr>
          <w:sz w:val="24"/>
          <w:szCs w:val="24"/>
        </w:rPr>
        <w:t>, if the monthly extensions last for a one (1) year,</w:t>
      </w:r>
      <w:r w:rsidR="00AC574E">
        <w:rPr>
          <w:sz w:val="24"/>
          <w:szCs w:val="24"/>
        </w:rPr>
        <w:t xml:space="preserve"> will cost $300,000</w:t>
      </w:r>
      <w:r w:rsidR="007D3E38">
        <w:rPr>
          <w:sz w:val="24"/>
          <w:szCs w:val="24"/>
        </w:rPr>
        <w:t>.</w:t>
      </w:r>
      <w:r w:rsidR="00AC574E">
        <w:rPr>
          <w:rStyle w:val="FootnoteReference"/>
          <w:sz w:val="24"/>
          <w:szCs w:val="24"/>
        </w:rPr>
        <w:footnoteReference w:id="3"/>
      </w:r>
      <w:r w:rsidR="007D3E38">
        <w:rPr>
          <w:sz w:val="24"/>
          <w:szCs w:val="24"/>
        </w:rPr>
        <w:t xml:space="preserve">  </w:t>
      </w:r>
    </w:p>
    <w:p w14:paraId="5559EFED" w14:textId="77777777" w:rsidR="008D5312" w:rsidRPr="00782C4F" w:rsidRDefault="008D5312" w:rsidP="006E3058">
      <w:pPr>
        <w:spacing w:line="240" w:lineRule="auto"/>
        <w:ind w:left="432" w:hanging="432"/>
        <w:rPr>
          <w:sz w:val="24"/>
          <w:szCs w:val="24"/>
        </w:rPr>
      </w:pPr>
    </w:p>
    <w:p w14:paraId="3D874EDD" w14:textId="77777777" w:rsidR="00782C4F" w:rsidRDefault="00782C4F" w:rsidP="006E3058">
      <w:pPr>
        <w:spacing w:line="240" w:lineRule="auto"/>
        <w:ind w:left="432" w:hanging="432"/>
        <w:jc w:val="center"/>
        <w:rPr>
          <w:b/>
          <w:sz w:val="24"/>
          <w:szCs w:val="24"/>
          <w:u w:val="single"/>
        </w:rPr>
      </w:pPr>
    </w:p>
    <w:p w14:paraId="0AE94BE1" w14:textId="77777777" w:rsidR="00782C4F" w:rsidRDefault="00782C4F" w:rsidP="006E3058">
      <w:pPr>
        <w:spacing w:line="240" w:lineRule="auto"/>
        <w:ind w:left="432" w:hanging="432"/>
        <w:jc w:val="center"/>
        <w:rPr>
          <w:b/>
          <w:sz w:val="24"/>
          <w:szCs w:val="24"/>
          <w:u w:val="single"/>
        </w:rPr>
      </w:pPr>
      <w:r>
        <w:rPr>
          <w:b/>
          <w:sz w:val="24"/>
          <w:szCs w:val="24"/>
          <w:u w:val="single"/>
        </w:rPr>
        <w:t>BACKGROUND</w:t>
      </w:r>
    </w:p>
    <w:p w14:paraId="3310B72D" w14:textId="77777777" w:rsidR="00782C4F" w:rsidRDefault="00782C4F" w:rsidP="006E3058">
      <w:pPr>
        <w:spacing w:line="240" w:lineRule="auto"/>
        <w:ind w:left="432" w:hanging="432"/>
        <w:rPr>
          <w:sz w:val="24"/>
          <w:szCs w:val="24"/>
        </w:rPr>
      </w:pPr>
    </w:p>
    <w:p w14:paraId="6BD1A84D" w14:textId="2B611E16" w:rsidR="00287D89" w:rsidRDefault="0075738D" w:rsidP="006E3058">
      <w:pPr>
        <w:spacing w:line="240" w:lineRule="auto"/>
        <w:ind w:left="432" w:hanging="432"/>
        <w:rPr>
          <w:sz w:val="24"/>
          <w:szCs w:val="24"/>
        </w:rPr>
      </w:pPr>
      <w:r>
        <w:rPr>
          <w:sz w:val="24"/>
          <w:szCs w:val="24"/>
        </w:rPr>
        <w:t>4</w:t>
      </w:r>
      <w:r w:rsidR="00782C4F" w:rsidRPr="00782C4F">
        <w:rPr>
          <w:sz w:val="24"/>
          <w:szCs w:val="24"/>
        </w:rPr>
        <w:t>.</w:t>
      </w:r>
      <w:r w:rsidR="00782C4F">
        <w:rPr>
          <w:sz w:val="24"/>
          <w:szCs w:val="24"/>
        </w:rPr>
        <w:tab/>
      </w:r>
      <w:r>
        <w:rPr>
          <w:sz w:val="24"/>
          <w:szCs w:val="24"/>
        </w:rPr>
        <w:t xml:space="preserve">On April 6, 2016, GPA entered into a five (5) year contract, which had a one (1) year initial term with four (4) one (1) year options to renew with Graphic Center to provide </w:t>
      </w:r>
      <w:bookmarkStart w:id="2" w:name="_Hlk74919067"/>
      <w:r>
        <w:rPr>
          <w:sz w:val="24"/>
          <w:szCs w:val="24"/>
        </w:rPr>
        <w:t>Professional Printing, Mailing, Processing, and Other Services</w:t>
      </w:r>
      <w:bookmarkEnd w:id="2"/>
      <w:r>
        <w:rPr>
          <w:sz w:val="24"/>
          <w:szCs w:val="24"/>
        </w:rPr>
        <w:t>.  Under the contract, Graphic Center provided GPA with professional printing, mailing, and processing services for approximately fifty-thousand (50,000) electric power billings each month.</w:t>
      </w:r>
      <w:r>
        <w:rPr>
          <w:rStyle w:val="FootnoteReference"/>
          <w:sz w:val="24"/>
          <w:szCs w:val="24"/>
        </w:rPr>
        <w:footnoteReference w:id="4"/>
      </w:r>
      <w:r>
        <w:rPr>
          <w:sz w:val="24"/>
          <w:szCs w:val="24"/>
        </w:rPr>
        <w:t xml:space="preserve">  </w:t>
      </w:r>
      <w:r w:rsidR="00A805FE">
        <w:rPr>
          <w:sz w:val="24"/>
          <w:szCs w:val="24"/>
        </w:rPr>
        <w:t xml:space="preserve"> </w:t>
      </w:r>
    </w:p>
    <w:p w14:paraId="5C10E8DB" w14:textId="77777777" w:rsidR="00287D89" w:rsidRDefault="00287D89" w:rsidP="006E3058">
      <w:pPr>
        <w:spacing w:line="240" w:lineRule="auto"/>
        <w:ind w:left="432" w:hanging="432"/>
        <w:rPr>
          <w:sz w:val="24"/>
          <w:szCs w:val="24"/>
        </w:rPr>
      </w:pPr>
    </w:p>
    <w:p w14:paraId="23501B48" w14:textId="656A8AE5" w:rsidR="00782C4F" w:rsidRDefault="0075738D" w:rsidP="006E3058">
      <w:pPr>
        <w:spacing w:line="240" w:lineRule="auto"/>
        <w:ind w:left="432" w:hanging="432"/>
        <w:rPr>
          <w:sz w:val="24"/>
          <w:szCs w:val="24"/>
        </w:rPr>
      </w:pPr>
      <w:r>
        <w:rPr>
          <w:sz w:val="24"/>
          <w:szCs w:val="24"/>
        </w:rPr>
        <w:t>5</w:t>
      </w:r>
      <w:r w:rsidR="00287D89">
        <w:rPr>
          <w:sz w:val="24"/>
          <w:szCs w:val="24"/>
        </w:rPr>
        <w:t>.</w:t>
      </w:r>
      <w:r w:rsidR="00287D89">
        <w:rPr>
          <w:sz w:val="24"/>
          <w:szCs w:val="24"/>
        </w:rPr>
        <w:tab/>
      </w:r>
      <w:r>
        <w:rPr>
          <w:sz w:val="24"/>
          <w:szCs w:val="24"/>
        </w:rPr>
        <w:t>The contract’s initial one (1) year term has expired</w:t>
      </w:r>
      <w:r w:rsidR="00B760E6">
        <w:rPr>
          <w:sz w:val="24"/>
          <w:szCs w:val="24"/>
        </w:rPr>
        <w:t xml:space="preserve">, </w:t>
      </w:r>
      <w:r>
        <w:rPr>
          <w:sz w:val="24"/>
          <w:szCs w:val="24"/>
        </w:rPr>
        <w:t>and GPA has exercised all four (4) of its one (1) year options to renew.   GPA has expended the total amount of $1.42 million on the contract over this five (5) year period.</w:t>
      </w:r>
      <w:r>
        <w:rPr>
          <w:rStyle w:val="FootnoteReference"/>
          <w:sz w:val="24"/>
          <w:szCs w:val="24"/>
        </w:rPr>
        <w:footnoteReference w:id="5"/>
      </w:r>
    </w:p>
    <w:p w14:paraId="53335C24" w14:textId="77777777" w:rsidR="00782C4F" w:rsidRDefault="00782C4F" w:rsidP="006E3058">
      <w:pPr>
        <w:spacing w:line="240" w:lineRule="auto"/>
        <w:ind w:left="432" w:hanging="432"/>
        <w:rPr>
          <w:sz w:val="24"/>
          <w:szCs w:val="24"/>
        </w:rPr>
      </w:pPr>
    </w:p>
    <w:p w14:paraId="2EA97F06" w14:textId="4679EBA0" w:rsidR="00674DC9" w:rsidRDefault="00B760E6" w:rsidP="006E3058">
      <w:pPr>
        <w:spacing w:line="240" w:lineRule="auto"/>
        <w:ind w:left="432" w:hanging="432"/>
        <w:rPr>
          <w:sz w:val="24"/>
          <w:szCs w:val="24"/>
        </w:rPr>
      </w:pPr>
      <w:r>
        <w:rPr>
          <w:sz w:val="24"/>
          <w:szCs w:val="24"/>
        </w:rPr>
        <w:t>6</w:t>
      </w:r>
      <w:r w:rsidR="00782C4F">
        <w:rPr>
          <w:sz w:val="24"/>
          <w:szCs w:val="24"/>
        </w:rPr>
        <w:t>.</w:t>
      </w:r>
      <w:r>
        <w:rPr>
          <w:sz w:val="24"/>
          <w:szCs w:val="24"/>
        </w:rPr>
        <w:tab/>
        <w:t>Prior to the expiration of the contract’s last one (1) year option to renew, GPA solicited for a new contract for p</w:t>
      </w:r>
      <w:r w:rsidRPr="00B760E6">
        <w:rPr>
          <w:sz w:val="24"/>
          <w:szCs w:val="24"/>
        </w:rPr>
        <w:t xml:space="preserve">rofessional </w:t>
      </w:r>
      <w:r>
        <w:rPr>
          <w:sz w:val="24"/>
          <w:szCs w:val="24"/>
        </w:rPr>
        <w:t>p</w:t>
      </w:r>
      <w:r w:rsidRPr="00B760E6">
        <w:rPr>
          <w:sz w:val="24"/>
          <w:szCs w:val="24"/>
        </w:rPr>
        <w:t xml:space="preserve">rinting, </w:t>
      </w:r>
      <w:r>
        <w:rPr>
          <w:sz w:val="24"/>
          <w:szCs w:val="24"/>
        </w:rPr>
        <w:t>m</w:t>
      </w:r>
      <w:r w:rsidRPr="00B760E6">
        <w:rPr>
          <w:sz w:val="24"/>
          <w:szCs w:val="24"/>
        </w:rPr>
        <w:t xml:space="preserve">ailing, </w:t>
      </w:r>
      <w:r>
        <w:rPr>
          <w:sz w:val="24"/>
          <w:szCs w:val="24"/>
        </w:rPr>
        <w:t>p</w:t>
      </w:r>
      <w:r w:rsidRPr="00B760E6">
        <w:rPr>
          <w:sz w:val="24"/>
          <w:szCs w:val="24"/>
        </w:rPr>
        <w:t xml:space="preserve">rocessing, and </w:t>
      </w:r>
      <w:r>
        <w:rPr>
          <w:sz w:val="24"/>
          <w:szCs w:val="24"/>
        </w:rPr>
        <w:t>o</w:t>
      </w:r>
      <w:r w:rsidRPr="00B760E6">
        <w:rPr>
          <w:sz w:val="24"/>
          <w:szCs w:val="24"/>
        </w:rPr>
        <w:t xml:space="preserve">ther </w:t>
      </w:r>
      <w:r>
        <w:rPr>
          <w:sz w:val="24"/>
          <w:szCs w:val="24"/>
        </w:rPr>
        <w:t>s</w:t>
      </w:r>
      <w:r w:rsidRPr="00B760E6">
        <w:rPr>
          <w:sz w:val="24"/>
          <w:szCs w:val="24"/>
        </w:rPr>
        <w:t>ervices</w:t>
      </w:r>
      <w:r>
        <w:rPr>
          <w:sz w:val="24"/>
          <w:szCs w:val="24"/>
        </w:rPr>
        <w:t xml:space="preserve"> by issuing an Invitation for Bids [“IFB”] in December, 2020.   GPA received one (1) bid in response to the IFB and GPA had to issue a second IFB due to the bid not meeting the IFB’s requirements.</w:t>
      </w:r>
      <w:r>
        <w:rPr>
          <w:rStyle w:val="FootnoteReference"/>
          <w:sz w:val="24"/>
          <w:szCs w:val="24"/>
        </w:rPr>
        <w:footnoteReference w:id="6"/>
      </w:r>
    </w:p>
    <w:p w14:paraId="110919E8" w14:textId="1D5DC4BB" w:rsidR="00674DC9" w:rsidRDefault="00674DC9" w:rsidP="006E3058">
      <w:pPr>
        <w:spacing w:line="240" w:lineRule="auto"/>
        <w:ind w:left="432" w:hanging="432"/>
        <w:rPr>
          <w:sz w:val="24"/>
          <w:szCs w:val="24"/>
        </w:rPr>
      </w:pPr>
    </w:p>
    <w:p w14:paraId="261CF4ED" w14:textId="6679745D" w:rsidR="00DB6823" w:rsidRDefault="004520AB" w:rsidP="006D170D">
      <w:pPr>
        <w:spacing w:line="240" w:lineRule="auto"/>
        <w:ind w:left="432" w:hanging="432"/>
        <w:rPr>
          <w:sz w:val="24"/>
          <w:szCs w:val="24"/>
        </w:rPr>
      </w:pPr>
      <w:r>
        <w:rPr>
          <w:sz w:val="24"/>
          <w:szCs w:val="24"/>
        </w:rPr>
        <w:t>7</w:t>
      </w:r>
      <w:r w:rsidR="00312015">
        <w:rPr>
          <w:sz w:val="24"/>
          <w:szCs w:val="24"/>
        </w:rPr>
        <w:t xml:space="preserve">.  </w:t>
      </w:r>
      <w:r w:rsidR="00312015">
        <w:rPr>
          <w:sz w:val="24"/>
          <w:szCs w:val="24"/>
        </w:rPr>
        <w:tab/>
      </w:r>
      <w:r w:rsidR="00B760E6">
        <w:rPr>
          <w:sz w:val="24"/>
          <w:szCs w:val="24"/>
        </w:rPr>
        <w:t xml:space="preserve">As a result of the need to issue a second IFB and the expiration of the contract, GPA negotiated an eight-month extension of the contract so that the </w:t>
      </w:r>
      <w:r w:rsidR="00B760E6" w:rsidRPr="00B760E6">
        <w:rPr>
          <w:sz w:val="24"/>
          <w:szCs w:val="24"/>
        </w:rPr>
        <w:t xml:space="preserve">professional printing, mailing, processing, and other services </w:t>
      </w:r>
      <w:r w:rsidR="00B760E6">
        <w:rPr>
          <w:sz w:val="24"/>
          <w:szCs w:val="24"/>
        </w:rPr>
        <w:t xml:space="preserve">GPA requires, especially for the billing of </w:t>
      </w:r>
      <w:r w:rsidR="008654BB">
        <w:rPr>
          <w:sz w:val="24"/>
          <w:szCs w:val="24"/>
        </w:rPr>
        <w:t xml:space="preserve">its </w:t>
      </w:r>
      <w:r w:rsidR="00B760E6">
        <w:rPr>
          <w:sz w:val="24"/>
          <w:szCs w:val="24"/>
        </w:rPr>
        <w:t>fifty-thousand (50,000) customers</w:t>
      </w:r>
      <w:r w:rsidR="008654BB">
        <w:rPr>
          <w:sz w:val="24"/>
          <w:szCs w:val="24"/>
        </w:rPr>
        <w:t>, will continue without interruption until GPA procures a new contract.  GPA estimate</w:t>
      </w:r>
      <w:r w:rsidR="00D00B0F">
        <w:rPr>
          <w:sz w:val="24"/>
          <w:szCs w:val="24"/>
        </w:rPr>
        <w:t>d</w:t>
      </w:r>
      <w:r w:rsidR="008654BB">
        <w:rPr>
          <w:sz w:val="24"/>
          <w:szCs w:val="24"/>
        </w:rPr>
        <w:t xml:space="preserve"> that the eight (8) month contract extension </w:t>
      </w:r>
      <w:r w:rsidR="00C25F9C">
        <w:rPr>
          <w:sz w:val="24"/>
          <w:szCs w:val="24"/>
        </w:rPr>
        <w:t xml:space="preserve">would </w:t>
      </w:r>
      <w:r w:rsidR="008654BB">
        <w:rPr>
          <w:sz w:val="24"/>
          <w:szCs w:val="24"/>
        </w:rPr>
        <w:t xml:space="preserve">cost $300,000 which GPA </w:t>
      </w:r>
      <w:r w:rsidR="00C25F9C">
        <w:rPr>
          <w:sz w:val="24"/>
          <w:szCs w:val="24"/>
        </w:rPr>
        <w:t xml:space="preserve">would </w:t>
      </w:r>
      <w:r w:rsidR="008654BB">
        <w:rPr>
          <w:sz w:val="24"/>
          <w:szCs w:val="24"/>
        </w:rPr>
        <w:t>pay for using its revenue funds.</w:t>
      </w:r>
      <w:r w:rsidR="008654BB">
        <w:rPr>
          <w:rStyle w:val="FootnoteReference"/>
          <w:sz w:val="24"/>
          <w:szCs w:val="24"/>
        </w:rPr>
        <w:footnoteReference w:id="7"/>
      </w:r>
      <w:r w:rsidR="008654BB">
        <w:rPr>
          <w:sz w:val="24"/>
          <w:szCs w:val="24"/>
        </w:rPr>
        <w:t xml:space="preserve">   </w:t>
      </w:r>
    </w:p>
    <w:p w14:paraId="74CD3D81" w14:textId="00BD75AE" w:rsidR="008D5312" w:rsidRDefault="008D5312" w:rsidP="006D170D">
      <w:pPr>
        <w:spacing w:line="240" w:lineRule="auto"/>
        <w:ind w:left="432" w:hanging="432"/>
        <w:rPr>
          <w:sz w:val="24"/>
          <w:szCs w:val="24"/>
        </w:rPr>
      </w:pPr>
    </w:p>
    <w:p w14:paraId="64299693" w14:textId="30A29FCF" w:rsidR="00820FF4" w:rsidRDefault="004520AB" w:rsidP="006D170D">
      <w:pPr>
        <w:spacing w:line="240" w:lineRule="auto"/>
        <w:ind w:left="432" w:hanging="432"/>
        <w:rPr>
          <w:sz w:val="24"/>
          <w:szCs w:val="24"/>
        </w:rPr>
      </w:pPr>
      <w:r>
        <w:rPr>
          <w:sz w:val="24"/>
          <w:szCs w:val="24"/>
        </w:rPr>
        <w:t>8</w:t>
      </w:r>
      <w:r w:rsidR="008D5312">
        <w:rPr>
          <w:sz w:val="24"/>
          <w:szCs w:val="24"/>
        </w:rPr>
        <w:t>.</w:t>
      </w:r>
      <w:r w:rsidR="008D5312">
        <w:rPr>
          <w:sz w:val="24"/>
          <w:szCs w:val="24"/>
        </w:rPr>
        <w:tab/>
      </w:r>
      <w:r w:rsidR="008654BB">
        <w:rPr>
          <w:sz w:val="24"/>
          <w:szCs w:val="24"/>
        </w:rPr>
        <w:t xml:space="preserve">On April 27, </w:t>
      </w:r>
      <w:r w:rsidR="005A0E1F">
        <w:rPr>
          <w:sz w:val="24"/>
          <w:szCs w:val="24"/>
        </w:rPr>
        <w:t>2021,</w:t>
      </w:r>
      <w:r w:rsidR="008654BB">
        <w:rPr>
          <w:sz w:val="24"/>
          <w:szCs w:val="24"/>
        </w:rPr>
        <w:t xml:space="preserve"> the Guam Consolidated Commission on Utilities [“CCU”] issued CCU Resolution No. 2021-10 authorizing GPA’s management to exercise the month-month contract extension up to eight (8) months or until a new contract is awarded, whichever comes first, subject to the PUC’s approval.</w:t>
      </w:r>
      <w:r w:rsidR="008654BB">
        <w:rPr>
          <w:rStyle w:val="FootnoteReference"/>
          <w:sz w:val="24"/>
          <w:szCs w:val="24"/>
        </w:rPr>
        <w:footnoteReference w:id="8"/>
      </w:r>
    </w:p>
    <w:p w14:paraId="69D99560" w14:textId="5B446129" w:rsidR="00ED4890" w:rsidRDefault="00ED4890" w:rsidP="006D170D">
      <w:pPr>
        <w:spacing w:line="240" w:lineRule="auto"/>
        <w:ind w:left="432" w:hanging="432"/>
        <w:rPr>
          <w:sz w:val="24"/>
          <w:szCs w:val="24"/>
        </w:rPr>
      </w:pPr>
    </w:p>
    <w:p w14:paraId="69504133" w14:textId="7AA0F8E0" w:rsidR="00ED4890" w:rsidRDefault="00ED4890" w:rsidP="006D170D">
      <w:pPr>
        <w:spacing w:line="240" w:lineRule="auto"/>
        <w:ind w:left="432" w:hanging="432"/>
        <w:rPr>
          <w:sz w:val="24"/>
          <w:szCs w:val="24"/>
        </w:rPr>
      </w:pPr>
      <w:r>
        <w:rPr>
          <w:sz w:val="24"/>
          <w:szCs w:val="24"/>
        </w:rPr>
        <w:t>9.</w:t>
      </w:r>
      <w:r>
        <w:rPr>
          <w:sz w:val="24"/>
          <w:szCs w:val="24"/>
        </w:rPr>
        <w:tab/>
        <w:t>On May 13, 2021, GPA issued GPA-RFP-21-002 (Professional Printing, Mailing, and Processing Services) [RFP].</w:t>
      </w:r>
      <w:r>
        <w:rPr>
          <w:rStyle w:val="FootnoteReference"/>
          <w:sz w:val="24"/>
          <w:szCs w:val="24"/>
        </w:rPr>
        <w:footnoteReference w:id="9"/>
      </w:r>
    </w:p>
    <w:p w14:paraId="3DA9324C" w14:textId="1EFB68F3" w:rsidR="00ED4890" w:rsidRDefault="00ED4890" w:rsidP="006D170D">
      <w:pPr>
        <w:spacing w:line="240" w:lineRule="auto"/>
        <w:ind w:left="432" w:hanging="432"/>
        <w:rPr>
          <w:sz w:val="24"/>
          <w:szCs w:val="24"/>
        </w:rPr>
      </w:pPr>
    </w:p>
    <w:p w14:paraId="2DF5F5DD" w14:textId="7ECAA2B7" w:rsidR="00ED4890" w:rsidRDefault="00ED4890" w:rsidP="006D170D">
      <w:pPr>
        <w:spacing w:line="240" w:lineRule="auto"/>
        <w:ind w:left="432" w:hanging="432"/>
        <w:rPr>
          <w:sz w:val="24"/>
          <w:szCs w:val="24"/>
        </w:rPr>
      </w:pPr>
      <w:r>
        <w:rPr>
          <w:sz w:val="24"/>
          <w:szCs w:val="24"/>
        </w:rPr>
        <w:t xml:space="preserve">10.  On June 7, 2021, GPA received three (3) offers and selected </w:t>
      </w:r>
      <w:proofErr w:type="spellStart"/>
      <w:r>
        <w:rPr>
          <w:sz w:val="24"/>
          <w:szCs w:val="24"/>
        </w:rPr>
        <w:t>InfoSend</w:t>
      </w:r>
      <w:proofErr w:type="spellEnd"/>
      <w:r>
        <w:rPr>
          <w:sz w:val="24"/>
          <w:szCs w:val="24"/>
        </w:rPr>
        <w:t xml:space="preserve"> as the most qualified offeror, GPA selected Graphic Center as the second most qualified offeror, and GPA rejected Moonlight BPO’s offer.</w:t>
      </w:r>
      <w:r>
        <w:rPr>
          <w:rStyle w:val="FootnoteReference"/>
          <w:sz w:val="24"/>
          <w:szCs w:val="24"/>
        </w:rPr>
        <w:footnoteReference w:id="10"/>
      </w:r>
    </w:p>
    <w:p w14:paraId="3ED1330D" w14:textId="7AA05B33" w:rsidR="00ED4890" w:rsidRDefault="00ED4890" w:rsidP="006D170D">
      <w:pPr>
        <w:spacing w:line="240" w:lineRule="auto"/>
        <w:ind w:left="432" w:hanging="432"/>
        <w:rPr>
          <w:sz w:val="24"/>
          <w:szCs w:val="24"/>
        </w:rPr>
      </w:pPr>
    </w:p>
    <w:p w14:paraId="46355A02" w14:textId="011747AD" w:rsidR="00C25F9C" w:rsidRDefault="00ED4890" w:rsidP="006D170D">
      <w:pPr>
        <w:spacing w:line="240" w:lineRule="auto"/>
        <w:ind w:left="432" w:hanging="432"/>
        <w:rPr>
          <w:sz w:val="24"/>
          <w:szCs w:val="24"/>
        </w:rPr>
      </w:pPr>
      <w:r>
        <w:rPr>
          <w:sz w:val="24"/>
          <w:szCs w:val="24"/>
        </w:rPr>
        <w:lastRenderedPageBreak/>
        <w:t>1</w:t>
      </w:r>
      <w:r w:rsidR="003A578B">
        <w:rPr>
          <w:sz w:val="24"/>
          <w:szCs w:val="24"/>
        </w:rPr>
        <w:t xml:space="preserve">1.  </w:t>
      </w:r>
      <w:r w:rsidR="00C25F9C">
        <w:rPr>
          <w:sz w:val="24"/>
          <w:szCs w:val="24"/>
        </w:rPr>
        <w:t xml:space="preserve">On July 29, 2021, in GPA Docket No. 21-11, the PUC issued an order authorizing GPA to </w:t>
      </w:r>
      <w:r w:rsidR="00C25F9C" w:rsidRPr="00C25F9C">
        <w:rPr>
          <w:sz w:val="24"/>
          <w:szCs w:val="24"/>
        </w:rPr>
        <w:t>exercise the month-month contract extension up to eight (8) months or until a new contract is awarded, whichever comes first.</w:t>
      </w:r>
      <w:r w:rsidR="00C25F9C">
        <w:rPr>
          <w:rStyle w:val="FootnoteReference"/>
          <w:sz w:val="24"/>
          <w:szCs w:val="24"/>
        </w:rPr>
        <w:footnoteReference w:id="11"/>
      </w:r>
    </w:p>
    <w:p w14:paraId="7525749D" w14:textId="38F790CA" w:rsidR="003A578B" w:rsidRDefault="003A578B" w:rsidP="006D170D">
      <w:pPr>
        <w:spacing w:line="240" w:lineRule="auto"/>
        <w:ind w:left="432" w:hanging="432"/>
        <w:rPr>
          <w:sz w:val="24"/>
          <w:szCs w:val="24"/>
        </w:rPr>
      </w:pPr>
    </w:p>
    <w:p w14:paraId="0C7A6E07" w14:textId="1E0F2E31" w:rsidR="003A578B" w:rsidRDefault="003A578B" w:rsidP="006D170D">
      <w:pPr>
        <w:spacing w:line="240" w:lineRule="auto"/>
        <w:ind w:left="432" w:hanging="432"/>
        <w:rPr>
          <w:sz w:val="24"/>
          <w:szCs w:val="24"/>
        </w:rPr>
      </w:pPr>
      <w:r>
        <w:rPr>
          <w:sz w:val="24"/>
          <w:szCs w:val="24"/>
        </w:rPr>
        <w:t>12.  On August 30, 2021 Graphic Center filed a procurement protest disputing GPA’s evaluation process for the RFP and GPA denied the protest on October 7, 2021.</w:t>
      </w:r>
      <w:r>
        <w:rPr>
          <w:rStyle w:val="FootnoteReference"/>
          <w:sz w:val="24"/>
          <w:szCs w:val="24"/>
        </w:rPr>
        <w:footnoteReference w:id="12"/>
      </w:r>
    </w:p>
    <w:p w14:paraId="476BC792" w14:textId="0CD4079B" w:rsidR="003A578B" w:rsidRDefault="003A578B" w:rsidP="006D170D">
      <w:pPr>
        <w:spacing w:line="240" w:lineRule="auto"/>
        <w:ind w:left="432" w:hanging="432"/>
        <w:rPr>
          <w:sz w:val="24"/>
          <w:szCs w:val="24"/>
        </w:rPr>
      </w:pPr>
    </w:p>
    <w:p w14:paraId="3D347770" w14:textId="572FF8FB" w:rsidR="003A578B" w:rsidRDefault="003A578B" w:rsidP="006D170D">
      <w:pPr>
        <w:spacing w:line="240" w:lineRule="auto"/>
        <w:ind w:left="432" w:hanging="432"/>
        <w:rPr>
          <w:sz w:val="24"/>
          <w:szCs w:val="24"/>
        </w:rPr>
      </w:pPr>
      <w:r>
        <w:rPr>
          <w:sz w:val="24"/>
          <w:szCs w:val="24"/>
        </w:rPr>
        <w:t xml:space="preserve">13.  On October 22, 2021 Graphic Center filed a procurement protest appeal with the Office of Public Accountability [OPA] alleging that absence of a demonstrated record and development system in </w:t>
      </w:r>
      <w:proofErr w:type="spellStart"/>
      <w:r>
        <w:rPr>
          <w:sz w:val="24"/>
          <w:szCs w:val="24"/>
        </w:rPr>
        <w:t>InfoSend’s</w:t>
      </w:r>
      <w:proofErr w:type="spellEnd"/>
      <w:r>
        <w:rPr>
          <w:sz w:val="24"/>
          <w:szCs w:val="24"/>
        </w:rPr>
        <w:t xml:space="preserve"> offer should have resulted in Graphic Center being selected as the most qualified offeror.</w:t>
      </w:r>
      <w:r>
        <w:rPr>
          <w:rStyle w:val="FootnoteReference"/>
          <w:sz w:val="24"/>
          <w:szCs w:val="24"/>
        </w:rPr>
        <w:footnoteReference w:id="13"/>
      </w:r>
    </w:p>
    <w:p w14:paraId="666F9085" w14:textId="61082843" w:rsidR="003A578B" w:rsidRDefault="003A578B" w:rsidP="006D170D">
      <w:pPr>
        <w:spacing w:line="240" w:lineRule="auto"/>
        <w:ind w:left="432" w:hanging="432"/>
        <w:rPr>
          <w:sz w:val="24"/>
          <w:szCs w:val="24"/>
        </w:rPr>
      </w:pPr>
    </w:p>
    <w:p w14:paraId="10FD8C67" w14:textId="7FBF73B3" w:rsidR="003A578B" w:rsidRDefault="003A578B" w:rsidP="006D170D">
      <w:pPr>
        <w:spacing w:line="240" w:lineRule="auto"/>
        <w:ind w:left="432" w:hanging="432"/>
        <w:rPr>
          <w:sz w:val="24"/>
          <w:szCs w:val="24"/>
        </w:rPr>
      </w:pPr>
      <w:r>
        <w:rPr>
          <w:sz w:val="24"/>
          <w:szCs w:val="24"/>
        </w:rPr>
        <w:t>14.  On March 25, 2022 the OPA issued its decision denying Graphic Center’s appeal and on April 5, 2022 Graphic Center appealed the OPA decision in the Superior Court of Guam.</w:t>
      </w:r>
      <w:r w:rsidR="00557903">
        <w:rPr>
          <w:rStyle w:val="FootnoteReference"/>
          <w:sz w:val="24"/>
          <w:szCs w:val="24"/>
        </w:rPr>
        <w:footnoteReference w:id="14"/>
      </w:r>
    </w:p>
    <w:p w14:paraId="6EC69AE7" w14:textId="543179F1" w:rsidR="00853EA6" w:rsidRDefault="00853EA6" w:rsidP="006D170D">
      <w:pPr>
        <w:spacing w:line="240" w:lineRule="auto"/>
        <w:ind w:left="432" w:hanging="432"/>
        <w:rPr>
          <w:sz w:val="24"/>
          <w:szCs w:val="24"/>
        </w:rPr>
      </w:pPr>
    </w:p>
    <w:p w14:paraId="091FED4B" w14:textId="44EF5FDD" w:rsidR="00853EA6" w:rsidRDefault="00853EA6" w:rsidP="006D170D">
      <w:pPr>
        <w:spacing w:line="240" w:lineRule="auto"/>
        <w:ind w:left="432" w:hanging="432"/>
        <w:rPr>
          <w:sz w:val="24"/>
          <w:szCs w:val="24"/>
        </w:rPr>
      </w:pPr>
      <w:r>
        <w:rPr>
          <w:sz w:val="24"/>
          <w:szCs w:val="24"/>
        </w:rPr>
        <w:t>15.  On April 26, 2022, the Guam Consolidated Commission on Utilities [“CCU”] issued GPA Resolution No. 2022-20 authorizing GPA’s management to exercise the month-month contract extension until a new contract is awarded, whichever comes subject to the PUC’s approval.</w:t>
      </w:r>
      <w:r>
        <w:rPr>
          <w:rStyle w:val="FootnoteReference"/>
          <w:sz w:val="24"/>
          <w:szCs w:val="24"/>
        </w:rPr>
        <w:footnoteReference w:id="15"/>
      </w:r>
    </w:p>
    <w:p w14:paraId="597DC9DE" w14:textId="49B63E03" w:rsidR="00ED4890" w:rsidRDefault="00ED4890" w:rsidP="006D170D">
      <w:pPr>
        <w:spacing w:line="240" w:lineRule="auto"/>
        <w:ind w:left="432" w:hanging="432"/>
        <w:rPr>
          <w:sz w:val="24"/>
          <w:szCs w:val="24"/>
        </w:rPr>
      </w:pPr>
    </w:p>
    <w:p w14:paraId="6F75D64C" w14:textId="090773E0" w:rsidR="00ED4890" w:rsidRDefault="00ED4890" w:rsidP="006D170D">
      <w:pPr>
        <w:spacing w:line="240" w:lineRule="auto"/>
        <w:ind w:left="432" w:hanging="432"/>
        <w:rPr>
          <w:sz w:val="24"/>
          <w:szCs w:val="24"/>
        </w:rPr>
      </w:pPr>
    </w:p>
    <w:p w14:paraId="69809D2E" w14:textId="77777777" w:rsidR="00820FF4" w:rsidRDefault="00820FF4" w:rsidP="006D170D">
      <w:pPr>
        <w:spacing w:line="240" w:lineRule="auto"/>
        <w:ind w:left="432" w:hanging="432"/>
        <w:rPr>
          <w:sz w:val="24"/>
          <w:szCs w:val="24"/>
        </w:rPr>
      </w:pPr>
    </w:p>
    <w:p w14:paraId="67083294" w14:textId="77777777" w:rsidR="00B61244" w:rsidRDefault="00B61244" w:rsidP="006D170D">
      <w:pPr>
        <w:spacing w:line="240" w:lineRule="auto"/>
        <w:ind w:left="432" w:hanging="432"/>
        <w:rPr>
          <w:sz w:val="24"/>
          <w:szCs w:val="24"/>
        </w:rPr>
      </w:pPr>
    </w:p>
    <w:p w14:paraId="5CA206FB" w14:textId="77777777" w:rsidR="006E3058" w:rsidRDefault="006E3058" w:rsidP="006E3058">
      <w:pPr>
        <w:spacing w:line="240" w:lineRule="auto"/>
        <w:ind w:left="432" w:hanging="432"/>
        <w:rPr>
          <w:sz w:val="24"/>
          <w:szCs w:val="24"/>
        </w:rPr>
      </w:pPr>
    </w:p>
    <w:p w14:paraId="4EF2A8EC" w14:textId="77777777" w:rsidR="006E3058" w:rsidRDefault="006E3058" w:rsidP="006E3058">
      <w:pPr>
        <w:spacing w:line="240" w:lineRule="auto"/>
        <w:ind w:left="432" w:hanging="432"/>
        <w:jc w:val="center"/>
        <w:rPr>
          <w:b/>
          <w:sz w:val="24"/>
          <w:szCs w:val="24"/>
          <w:u w:val="single"/>
        </w:rPr>
      </w:pPr>
      <w:r>
        <w:rPr>
          <w:b/>
          <w:sz w:val="24"/>
          <w:szCs w:val="24"/>
          <w:u w:val="single"/>
        </w:rPr>
        <w:t>ANALYSIS</w:t>
      </w:r>
    </w:p>
    <w:p w14:paraId="4E473921" w14:textId="77777777" w:rsidR="006E3058" w:rsidRDefault="006E3058" w:rsidP="006E3058">
      <w:pPr>
        <w:spacing w:line="240" w:lineRule="auto"/>
        <w:rPr>
          <w:b/>
          <w:sz w:val="24"/>
          <w:szCs w:val="24"/>
          <w:u w:val="single"/>
        </w:rPr>
      </w:pPr>
    </w:p>
    <w:p w14:paraId="4D7657BA" w14:textId="6CA4DAC8" w:rsidR="0059635F" w:rsidRDefault="0022487B" w:rsidP="006E3058">
      <w:pPr>
        <w:spacing w:line="240" w:lineRule="auto"/>
        <w:ind w:left="432" w:hanging="432"/>
        <w:rPr>
          <w:sz w:val="24"/>
          <w:szCs w:val="24"/>
        </w:rPr>
      </w:pPr>
      <w:r>
        <w:rPr>
          <w:sz w:val="24"/>
          <w:szCs w:val="24"/>
        </w:rPr>
        <w:t>15</w:t>
      </w:r>
      <w:r w:rsidR="006E3058" w:rsidRPr="006E3058">
        <w:rPr>
          <w:sz w:val="24"/>
          <w:szCs w:val="24"/>
        </w:rPr>
        <w:t>.</w:t>
      </w:r>
      <w:r w:rsidR="009A386C">
        <w:rPr>
          <w:sz w:val="24"/>
          <w:szCs w:val="24"/>
        </w:rPr>
        <w:tab/>
      </w:r>
      <w:r w:rsidR="00D86857">
        <w:rPr>
          <w:sz w:val="24"/>
          <w:szCs w:val="24"/>
        </w:rPr>
        <w:t xml:space="preserve">GPA must obtain the PUC’s approval for </w:t>
      </w:r>
      <w:r w:rsidR="0059635F">
        <w:rPr>
          <w:sz w:val="24"/>
          <w:szCs w:val="24"/>
        </w:rPr>
        <w:t xml:space="preserve">any extension of the contract past May 31, 2022.  Here, as set forth above, the PUC’s July 29, 2021 Order in GPA Docket No. 21-11 only authorized GPA </w:t>
      </w:r>
      <w:r w:rsidR="0059635F" w:rsidRPr="0059635F">
        <w:rPr>
          <w:sz w:val="24"/>
          <w:szCs w:val="24"/>
        </w:rPr>
        <w:t>to exercise the month-month contract extension up to eight (8) months or until a new contract is awarded, whichever comes first</w:t>
      </w:r>
      <w:r w:rsidR="0059635F">
        <w:rPr>
          <w:sz w:val="24"/>
          <w:szCs w:val="24"/>
        </w:rPr>
        <w:t xml:space="preserve">.  Currently, the eight (8) period expires on May 31, 2022 and GPA has not been able to award a new contract due to Graphic Center’s protest concerning the RFP, and the appeal to the OPA, and the subsequent appeal of the OPA’s decision to the Superior Court of </w:t>
      </w:r>
      <w:r w:rsidR="0059635F">
        <w:rPr>
          <w:sz w:val="24"/>
          <w:szCs w:val="24"/>
        </w:rPr>
        <w:lastRenderedPageBreak/>
        <w:t xml:space="preserve">Guam.  Thus, GPA must obtain the PUC’s authorization for the month-to-month extensions of the contract past May 31, 2022. </w:t>
      </w:r>
      <w:r w:rsidR="00D86857">
        <w:rPr>
          <w:sz w:val="24"/>
          <w:szCs w:val="24"/>
        </w:rPr>
        <w:t xml:space="preserve"> </w:t>
      </w:r>
    </w:p>
    <w:p w14:paraId="1CB6FB00" w14:textId="77777777" w:rsidR="0059635F" w:rsidRDefault="0059635F" w:rsidP="006E3058">
      <w:pPr>
        <w:spacing w:line="240" w:lineRule="auto"/>
        <w:ind w:left="432" w:hanging="432"/>
        <w:rPr>
          <w:sz w:val="24"/>
          <w:szCs w:val="24"/>
        </w:rPr>
      </w:pPr>
    </w:p>
    <w:p w14:paraId="3CF2F3A4" w14:textId="1EE6378A" w:rsidR="006C2BCA" w:rsidRDefault="0059635F" w:rsidP="006E3058">
      <w:pPr>
        <w:spacing w:line="240" w:lineRule="auto"/>
        <w:ind w:left="432" w:hanging="432"/>
        <w:rPr>
          <w:sz w:val="24"/>
          <w:szCs w:val="24"/>
        </w:rPr>
      </w:pPr>
      <w:r>
        <w:rPr>
          <w:sz w:val="24"/>
          <w:szCs w:val="24"/>
        </w:rPr>
        <w:t xml:space="preserve">16.  </w:t>
      </w:r>
      <w:bookmarkStart w:id="3" w:name="_Hlk104044305"/>
      <w:r>
        <w:rPr>
          <w:sz w:val="24"/>
          <w:szCs w:val="24"/>
        </w:rPr>
        <w:t>GPA’s estimated $300,000 cost of the month-to-month contract extensions, if they last for a one (1) year period, is reasonable.</w:t>
      </w:r>
      <w:bookmarkEnd w:id="3"/>
      <w:r>
        <w:rPr>
          <w:sz w:val="24"/>
          <w:szCs w:val="24"/>
        </w:rPr>
        <w:t xml:space="preserve">  </w:t>
      </w:r>
      <w:r w:rsidR="006C2BCA">
        <w:rPr>
          <w:sz w:val="24"/>
          <w:szCs w:val="24"/>
        </w:rPr>
        <w:t xml:space="preserve">In GPA Docket No. 21-11 the PUC determined that GPE’s estimated $300,000 cost of the eight (8) month extension of the contract was reasonable because the average monthly cost of the original five (5) year term of the contract was approximately </w:t>
      </w:r>
      <w:r w:rsidR="006C2BCA" w:rsidRPr="006C2BCA">
        <w:rPr>
          <w:sz w:val="24"/>
          <w:szCs w:val="24"/>
        </w:rPr>
        <w:t>$23,666.67</w:t>
      </w:r>
      <w:r w:rsidR="006C2BCA">
        <w:rPr>
          <w:sz w:val="24"/>
          <w:szCs w:val="24"/>
        </w:rPr>
        <w:t xml:space="preserve"> per month </w:t>
      </w:r>
      <w:r w:rsidR="0047293D">
        <w:rPr>
          <w:sz w:val="24"/>
          <w:szCs w:val="24"/>
        </w:rPr>
        <w:t>($1,420,000</w:t>
      </w:r>
      <w:r w:rsidR="005C403A">
        <w:rPr>
          <w:sz w:val="24"/>
          <w:szCs w:val="24"/>
        </w:rPr>
        <w:t>/60 months = $23,666.67 per month)</w:t>
      </w:r>
      <w:r w:rsidR="006C2BCA">
        <w:rPr>
          <w:sz w:val="24"/>
          <w:szCs w:val="24"/>
        </w:rPr>
        <w:t xml:space="preserve"> and the average estimated monthly cost of the extension per month was </w:t>
      </w:r>
      <w:r w:rsidR="006C2BCA" w:rsidRPr="006C2BCA">
        <w:rPr>
          <w:sz w:val="24"/>
          <w:szCs w:val="24"/>
        </w:rPr>
        <w:t>$37,500</w:t>
      </w:r>
      <w:r w:rsidR="006C2BCA">
        <w:rPr>
          <w:sz w:val="24"/>
          <w:szCs w:val="24"/>
        </w:rPr>
        <w:t xml:space="preserve">, and albeit </w:t>
      </w:r>
      <w:r w:rsidR="006C2BCA" w:rsidRPr="006C2BCA">
        <w:rPr>
          <w:sz w:val="24"/>
          <w:szCs w:val="24"/>
        </w:rPr>
        <w:t>$13,833</w:t>
      </w:r>
      <w:r w:rsidR="005C403A">
        <w:rPr>
          <w:sz w:val="24"/>
          <w:szCs w:val="24"/>
        </w:rPr>
        <w:t xml:space="preserve"> </w:t>
      </w:r>
      <w:r w:rsidR="006C2BCA">
        <w:rPr>
          <w:sz w:val="24"/>
          <w:szCs w:val="24"/>
        </w:rPr>
        <w:t>more per month than the initial term, the higher monthly cost of the contract extension was justified by the cost increases that occurred during the contract’s original five (5) year term.</w:t>
      </w:r>
      <w:r w:rsidR="006C2BCA">
        <w:rPr>
          <w:rStyle w:val="FootnoteReference"/>
          <w:sz w:val="24"/>
          <w:szCs w:val="24"/>
        </w:rPr>
        <w:footnoteReference w:id="16"/>
      </w:r>
      <w:r w:rsidR="006C2BCA">
        <w:rPr>
          <w:sz w:val="24"/>
          <w:szCs w:val="24"/>
        </w:rPr>
        <w:t xml:space="preserve"> </w:t>
      </w:r>
      <w:r w:rsidR="005C403A">
        <w:rPr>
          <w:sz w:val="24"/>
          <w:szCs w:val="24"/>
        </w:rPr>
        <w:t xml:space="preserve"> Here, </w:t>
      </w:r>
      <w:r w:rsidR="006C2BCA">
        <w:rPr>
          <w:sz w:val="24"/>
          <w:szCs w:val="24"/>
        </w:rPr>
        <w:t xml:space="preserve">GPA estimates that one (1) year of the month-to-month contract extensions will cost approximately $25,000 per month ($300,000/12 months = $25,000) and this amount is $12,500 cheaper than the prior eight (8) months of contract extensions and only $1,333.33 than the average monthly cost of the contract’s original five (5) year term.  </w:t>
      </w:r>
      <w:r w:rsidR="005E3F2D">
        <w:rPr>
          <w:sz w:val="24"/>
          <w:szCs w:val="24"/>
        </w:rPr>
        <w:t xml:space="preserve">Therefore, </w:t>
      </w:r>
      <w:r w:rsidR="005E3F2D" w:rsidRPr="005E3F2D">
        <w:rPr>
          <w:sz w:val="24"/>
          <w:szCs w:val="24"/>
        </w:rPr>
        <w:t>GPA’s estimated $300,000 cost of the month-to-month contract extensions, if they last for a one (1) year period, is reasonable.</w:t>
      </w:r>
      <w:r w:rsidR="006C2BCA">
        <w:rPr>
          <w:sz w:val="24"/>
          <w:szCs w:val="24"/>
        </w:rPr>
        <w:t xml:space="preserve"> </w:t>
      </w:r>
    </w:p>
    <w:p w14:paraId="0C363119" w14:textId="77777777" w:rsidR="006C2BCA" w:rsidRDefault="006C2BCA" w:rsidP="006E3058">
      <w:pPr>
        <w:spacing w:line="240" w:lineRule="auto"/>
        <w:ind w:left="432" w:hanging="432"/>
        <w:rPr>
          <w:sz w:val="24"/>
          <w:szCs w:val="24"/>
        </w:rPr>
      </w:pPr>
    </w:p>
    <w:p w14:paraId="05EAAF63" w14:textId="77777777" w:rsidR="004B4036" w:rsidRDefault="004B4036" w:rsidP="006E3058">
      <w:pPr>
        <w:spacing w:line="240" w:lineRule="auto"/>
        <w:ind w:left="432" w:hanging="432"/>
        <w:rPr>
          <w:sz w:val="24"/>
          <w:szCs w:val="24"/>
        </w:rPr>
      </w:pPr>
    </w:p>
    <w:p w14:paraId="351AF74A" w14:textId="5300DFA6" w:rsidR="00BA7548" w:rsidRDefault="004B4036" w:rsidP="006E3058">
      <w:pPr>
        <w:spacing w:line="240" w:lineRule="auto"/>
        <w:ind w:left="432" w:hanging="432"/>
        <w:rPr>
          <w:sz w:val="24"/>
          <w:szCs w:val="24"/>
        </w:rPr>
      </w:pPr>
      <w:r>
        <w:rPr>
          <w:sz w:val="24"/>
          <w:szCs w:val="24"/>
        </w:rPr>
        <w:t>1</w:t>
      </w:r>
      <w:r w:rsidR="00437113">
        <w:rPr>
          <w:sz w:val="24"/>
          <w:szCs w:val="24"/>
        </w:rPr>
        <w:t>7</w:t>
      </w:r>
      <w:r>
        <w:rPr>
          <w:sz w:val="24"/>
          <w:szCs w:val="24"/>
        </w:rPr>
        <w:t>.</w:t>
      </w:r>
      <w:r>
        <w:rPr>
          <w:sz w:val="24"/>
          <w:szCs w:val="24"/>
        </w:rPr>
        <w:tab/>
      </w:r>
      <w:r w:rsidR="00B17E4D">
        <w:rPr>
          <w:sz w:val="24"/>
          <w:szCs w:val="24"/>
        </w:rPr>
        <w:t>The contract extension of prudent.  GPA’s plan to use the contract extension is a good one because it will prevent a gap in the p</w:t>
      </w:r>
      <w:r w:rsidR="00B17E4D" w:rsidRPr="00B17E4D">
        <w:rPr>
          <w:sz w:val="24"/>
          <w:szCs w:val="24"/>
        </w:rPr>
        <w:t xml:space="preserve">rofessional </w:t>
      </w:r>
      <w:r w:rsidR="00B17E4D">
        <w:rPr>
          <w:sz w:val="24"/>
          <w:szCs w:val="24"/>
        </w:rPr>
        <w:t>p</w:t>
      </w:r>
      <w:r w:rsidR="00B17E4D" w:rsidRPr="00B17E4D">
        <w:rPr>
          <w:sz w:val="24"/>
          <w:szCs w:val="24"/>
        </w:rPr>
        <w:t xml:space="preserve">rinting, </w:t>
      </w:r>
      <w:r w:rsidR="00B17E4D">
        <w:rPr>
          <w:sz w:val="24"/>
          <w:szCs w:val="24"/>
        </w:rPr>
        <w:t>m</w:t>
      </w:r>
      <w:r w:rsidR="00B17E4D" w:rsidRPr="00B17E4D">
        <w:rPr>
          <w:sz w:val="24"/>
          <w:szCs w:val="24"/>
        </w:rPr>
        <w:t xml:space="preserve">ailing, </w:t>
      </w:r>
      <w:r w:rsidR="00B17E4D">
        <w:rPr>
          <w:sz w:val="24"/>
          <w:szCs w:val="24"/>
        </w:rPr>
        <w:t>p</w:t>
      </w:r>
      <w:r w:rsidR="00B17E4D" w:rsidRPr="00B17E4D">
        <w:rPr>
          <w:sz w:val="24"/>
          <w:szCs w:val="24"/>
        </w:rPr>
        <w:t xml:space="preserve">rocessing, and </w:t>
      </w:r>
      <w:r w:rsidR="00B17E4D">
        <w:rPr>
          <w:sz w:val="24"/>
          <w:szCs w:val="24"/>
        </w:rPr>
        <w:t>o</w:t>
      </w:r>
      <w:r w:rsidR="00B17E4D" w:rsidRPr="00B17E4D">
        <w:rPr>
          <w:sz w:val="24"/>
          <w:szCs w:val="24"/>
        </w:rPr>
        <w:t xml:space="preserve">ther </w:t>
      </w:r>
      <w:r w:rsidR="00B17E4D">
        <w:rPr>
          <w:sz w:val="24"/>
          <w:szCs w:val="24"/>
        </w:rPr>
        <w:t>s</w:t>
      </w:r>
      <w:r w:rsidR="00B17E4D" w:rsidRPr="00B17E4D">
        <w:rPr>
          <w:sz w:val="24"/>
          <w:szCs w:val="24"/>
        </w:rPr>
        <w:t>ervices</w:t>
      </w:r>
      <w:r w:rsidR="00B17E4D">
        <w:rPr>
          <w:sz w:val="24"/>
          <w:szCs w:val="24"/>
        </w:rPr>
        <w:t xml:space="preserve"> from occurring as a result </w:t>
      </w:r>
      <w:r w:rsidR="00437113">
        <w:rPr>
          <w:sz w:val="24"/>
          <w:szCs w:val="24"/>
        </w:rPr>
        <w:t>of the application of the automatic stay imposed on the award of the RFP caused by the Graphic Center’s protest, appeal to the OPA, and subsequent appeal of the OPA’s decision to the Superior Court of Guam</w:t>
      </w:r>
      <w:r w:rsidR="00B17E4D">
        <w:rPr>
          <w:sz w:val="24"/>
          <w:szCs w:val="24"/>
        </w:rPr>
        <w:t xml:space="preserve">.    </w:t>
      </w:r>
    </w:p>
    <w:p w14:paraId="4D51EA38" w14:textId="77777777" w:rsidR="006A597E" w:rsidRDefault="006A597E" w:rsidP="006E3058">
      <w:pPr>
        <w:spacing w:line="240" w:lineRule="auto"/>
        <w:ind w:left="432" w:hanging="432"/>
        <w:rPr>
          <w:sz w:val="24"/>
          <w:szCs w:val="24"/>
        </w:rPr>
      </w:pPr>
    </w:p>
    <w:p w14:paraId="25325E88" w14:textId="360F52E3" w:rsidR="003544D6" w:rsidRDefault="00D2168A" w:rsidP="006E3058">
      <w:pPr>
        <w:spacing w:line="240" w:lineRule="auto"/>
        <w:ind w:left="432" w:hanging="432"/>
        <w:rPr>
          <w:sz w:val="24"/>
          <w:szCs w:val="24"/>
        </w:rPr>
      </w:pPr>
      <w:r>
        <w:rPr>
          <w:sz w:val="24"/>
          <w:szCs w:val="24"/>
        </w:rPr>
        <w:t>1</w:t>
      </w:r>
      <w:r w:rsidR="00437113">
        <w:rPr>
          <w:sz w:val="24"/>
          <w:szCs w:val="24"/>
        </w:rPr>
        <w:t>8</w:t>
      </w:r>
      <w:r w:rsidR="006A597E">
        <w:rPr>
          <w:sz w:val="24"/>
          <w:szCs w:val="24"/>
        </w:rPr>
        <w:t xml:space="preserve">.  </w:t>
      </w:r>
      <w:r w:rsidR="00ED0F0C">
        <w:rPr>
          <w:sz w:val="24"/>
          <w:szCs w:val="24"/>
        </w:rPr>
        <w:t>The contract extension is necessary.   GPA’s ability to bill its customers as required will be adversely affected by a gap in its p</w:t>
      </w:r>
      <w:r w:rsidR="00ED0F0C" w:rsidRPr="00ED0F0C">
        <w:rPr>
          <w:sz w:val="24"/>
          <w:szCs w:val="24"/>
        </w:rPr>
        <w:t xml:space="preserve">rofessional </w:t>
      </w:r>
      <w:r w:rsidR="00ED0F0C">
        <w:rPr>
          <w:sz w:val="24"/>
          <w:szCs w:val="24"/>
        </w:rPr>
        <w:t>p</w:t>
      </w:r>
      <w:r w:rsidR="00ED0F0C" w:rsidRPr="00ED0F0C">
        <w:rPr>
          <w:sz w:val="24"/>
          <w:szCs w:val="24"/>
        </w:rPr>
        <w:t xml:space="preserve">rinting, </w:t>
      </w:r>
      <w:r w:rsidR="00ED0F0C">
        <w:rPr>
          <w:sz w:val="24"/>
          <w:szCs w:val="24"/>
        </w:rPr>
        <w:t>m</w:t>
      </w:r>
      <w:r w:rsidR="00ED0F0C" w:rsidRPr="00ED0F0C">
        <w:rPr>
          <w:sz w:val="24"/>
          <w:szCs w:val="24"/>
        </w:rPr>
        <w:t xml:space="preserve">ailing, </w:t>
      </w:r>
      <w:r w:rsidR="00ED0F0C">
        <w:rPr>
          <w:sz w:val="24"/>
          <w:szCs w:val="24"/>
        </w:rPr>
        <w:t>p</w:t>
      </w:r>
      <w:r w:rsidR="00ED0F0C" w:rsidRPr="00ED0F0C">
        <w:rPr>
          <w:sz w:val="24"/>
          <w:szCs w:val="24"/>
        </w:rPr>
        <w:t xml:space="preserve">rocessing, and </w:t>
      </w:r>
      <w:r w:rsidR="00ED0F0C">
        <w:rPr>
          <w:sz w:val="24"/>
          <w:szCs w:val="24"/>
        </w:rPr>
        <w:t>o</w:t>
      </w:r>
      <w:r w:rsidR="00ED0F0C" w:rsidRPr="00ED0F0C">
        <w:rPr>
          <w:sz w:val="24"/>
          <w:szCs w:val="24"/>
        </w:rPr>
        <w:t xml:space="preserve">ther </w:t>
      </w:r>
      <w:r w:rsidR="00ED0F0C">
        <w:rPr>
          <w:sz w:val="24"/>
          <w:szCs w:val="24"/>
        </w:rPr>
        <w:t>s</w:t>
      </w:r>
      <w:r w:rsidR="00ED0F0C" w:rsidRPr="00ED0F0C">
        <w:rPr>
          <w:sz w:val="24"/>
          <w:szCs w:val="24"/>
        </w:rPr>
        <w:t>ervices</w:t>
      </w:r>
      <w:r w:rsidR="00ED0F0C">
        <w:rPr>
          <w:sz w:val="24"/>
          <w:szCs w:val="24"/>
        </w:rPr>
        <w:t>.   Specifically, without a contractor to provide these services, GPA</w:t>
      </w:r>
      <w:r w:rsidR="00437113">
        <w:rPr>
          <w:sz w:val="24"/>
          <w:szCs w:val="24"/>
        </w:rPr>
        <w:t xml:space="preserve"> </w:t>
      </w:r>
      <w:r w:rsidR="00ED0F0C">
        <w:rPr>
          <w:sz w:val="24"/>
          <w:szCs w:val="24"/>
        </w:rPr>
        <w:t xml:space="preserve">likely does not have the capability to </w:t>
      </w:r>
      <w:r w:rsidR="00ED0F0C" w:rsidRPr="00ED0F0C">
        <w:rPr>
          <w:sz w:val="24"/>
          <w:szCs w:val="24"/>
        </w:rPr>
        <w:t>print, mail, and process</w:t>
      </w:r>
      <w:r w:rsidR="005A0E1F">
        <w:rPr>
          <w:sz w:val="24"/>
          <w:szCs w:val="24"/>
        </w:rPr>
        <w:t xml:space="preserve"> the</w:t>
      </w:r>
      <w:r w:rsidR="00ED0F0C" w:rsidRPr="00ED0F0C">
        <w:rPr>
          <w:sz w:val="24"/>
          <w:szCs w:val="24"/>
        </w:rPr>
        <w:t xml:space="preserve"> fifty-thousand (50,000) </w:t>
      </w:r>
      <w:r w:rsidR="005A0E1F">
        <w:rPr>
          <w:sz w:val="24"/>
          <w:szCs w:val="24"/>
        </w:rPr>
        <w:t xml:space="preserve">or so </w:t>
      </w:r>
      <w:r w:rsidR="00ED0F0C" w:rsidRPr="00ED0F0C">
        <w:rPr>
          <w:sz w:val="24"/>
          <w:szCs w:val="24"/>
        </w:rPr>
        <w:t>electric power bill</w:t>
      </w:r>
      <w:r w:rsidR="005A0E1F">
        <w:rPr>
          <w:sz w:val="24"/>
          <w:szCs w:val="24"/>
        </w:rPr>
        <w:t>s it sends out</w:t>
      </w:r>
      <w:r w:rsidR="00ED0F0C" w:rsidRPr="00ED0F0C">
        <w:rPr>
          <w:sz w:val="24"/>
          <w:szCs w:val="24"/>
        </w:rPr>
        <w:t xml:space="preserve"> each month</w:t>
      </w:r>
      <w:r w:rsidR="005A0E1F">
        <w:rPr>
          <w:sz w:val="24"/>
          <w:szCs w:val="24"/>
        </w:rPr>
        <w:t xml:space="preserve"> in a timely manner.   Hence, a gap in these services will have an adverse effect on GPA’s revenue stream and the contract extension is necessary to prevent this from occurring. </w:t>
      </w:r>
    </w:p>
    <w:p w14:paraId="50AE1AB8" w14:textId="4243EC8B" w:rsidR="00B61244" w:rsidRDefault="00B61244" w:rsidP="006E3058">
      <w:pPr>
        <w:spacing w:line="240" w:lineRule="auto"/>
        <w:ind w:left="432" w:hanging="432"/>
        <w:rPr>
          <w:sz w:val="24"/>
          <w:szCs w:val="24"/>
        </w:rPr>
      </w:pPr>
    </w:p>
    <w:p w14:paraId="1FB81A84" w14:textId="5D9C416A" w:rsidR="009C377F" w:rsidRDefault="00C11E3E" w:rsidP="006E3058">
      <w:pPr>
        <w:spacing w:line="240" w:lineRule="auto"/>
        <w:ind w:left="432" w:hanging="432"/>
        <w:rPr>
          <w:sz w:val="24"/>
          <w:szCs w:val="24"/>
        </w:rPr>
      </w:pPr>
      <w:r>
        <w:rPr>
          <w:sz w:val="24"/>
          <w:szCs w:val="24"/>
        </w:rPr>
        <w:lastRenderedPageBreak/>
        <w:t>1</w:t>
      </w:r>
      <w:r w:rsidR="00437113">
        <w:rPr>
          <w:sz w:val="24"/>
          <w:szCs w:val="24"/>
        </w:rPr>
        <w:t>9</w:t>
      </w:r>
      <w:r>
        <w:rPr>
          <w:sz w:val="24"/>
          <w:szCs w:val="24"/>
        </w:rPr>
        <w:t xml:space="preserve">.  </w:t>
      </w:r>
      <w:r w:rsidR="00C32057">
        <w:rPr>
          <w:sz w:val="24"/>
          <w:szCs w:val="24"/>
        </w:rPr>
        <w:t xml:space="preserve">Based on the foregoing, </w:t>
      </w:r>
      <w:r w:rsidR="007C4933">
        <w:rPr>
          <w:sz w:val="24"/>
          <w:szCs w:val="24"/>
        </w:rPr>
        <w:t>G</w:t>
      </w:r>
      <w:r w:rsidR="005A0E1F">
        <w:rPr>
          <w:sz w:val="24"/>
          <w:szCs w:val="24"/>
        </w:rPr>
        <w:t>PA</w:t>
      </w:r>
      <w:r w:rsidR="007C4933">
        <w:rPr>
          <w:sz w:val="24"/>
          <w:szCs w:val="24"/>
        </w:rPr>
        <w:t xml:space="preserve">’s </w:t>
      </w:r>
      <w:r w:rsidR="005A0E1F">
        <w:rPr>
          <w:sz w:val="24"/>
          <w:szCs w:val="24"/>
        </w:rPr>
        <w:t xml:space="preserve">contract extension with Graphic Center </w:t>
      </w:r>
      <w:r w:rsidR="000F5EA8">
        <w:rPr>
          <w:sz w:val="24"/>
          <w:szCs w:val="24"/>
        </w:rPr>
        <w:t xml:space="preserve">and the </w:t>
      </w:r>
      <w:r w:rsidR="005A0E1F">
        <w:rPr>
          <w:sz w:val="24"/>
          <w:szCs w:val="24"/>
        </w:rPr>
        <w:t>extension</w:t>
      </w:r>
      <w:r w:rsidR="000F5EA8">
        <w:rPr>
          <w:sz w:val="24"/>
          <w:szCs w:val="24"/>
        </w:rPr>
        <w:t xml:space="preserve">’s </w:t>
      </w:r>
      <w:r w:rsidR="00CB7570">
        <w:rPr>
          <w:sz w:val="24"/>
          <w:szCs w:val="24"/>
        </w:rPr>
        <w:t>$</w:t>
      </w:r>
      <w:r w:rsidR="005A0E1F">
        <w:rPr>
          <w:sz w:val="24"/>
          <w:szCs w:val="24"/>
        </w:rPr>
        <w:t>300,000</w:t>
      </w:r>
      <w:r w:rsidR="00CB7570">
        <w:rPr>
          <w:sz w:val="24"/>
          <w:szCs w:val="24"/>
        </w:rPr>
        <w:t xml:space="preserve"> cost </w:t>
      </w:r>
      <w:r w:rsidR="007C4933">
        <w:rPr>
          <w:sz w:val="24"/>
          <w:szCs w:val="24"/>
        </w:rPr>
        <w:t>are reasonable, prudent, and necessary</w:t>
      </w:r>
      <w:r w:rsidR="00F07E99">
        <w:rPr>
          <w:sz w:val="24"/>
          <w:szCs w:val="24"/>
        </w:rPr>
        <w:t xml:space="preserve">, and the </w:t>
      </w:r>
      <w:r w:rsidR="005A0E1F">
        <w:rPr>
          <w:sz w:val="24"/>
          <w:szCs w:val="24"/>
        </w:rPr>
        <w:t xml:space="preserve">extension will prevent a gap occur in the </w:t>
      </w:r>
      <w:r w:rsidR="005A0E1F" w:rsidRPr="005A0E1F">
        <w:rPr>
          <w:sz w:val="24"/>
          <w:szCs w:val="24"/>
        </w:rPr>
        <w:t xml:space="preserve">professional printing, mailing, processing, and other services </w:t>
      </w:r>
      <w:r w:rsidR="005A0E1F">
        <w:rPr>
          <w:sz w:val="24"/>
          <w:szCs w:val="24"/>
        </w:rPr>
        <w:t xml:space="preserve">GPA relies on to </w:t>
      </w:r>
      <w:r w:rsidR="005A0E1F" w:rsidRPr="005A0E1F">
        <w:rPr>
          <w:sz w:val="24"/>
          <w:szCs w:val="24"/>
        </w:rPr>
        <w:t>print, mail, and process the fifty-thousand (50,000) or so electric power bills it sends out e</w:t>
      </w:r>
      <w:r w:rsidR="005A0E1F">
        <w:rPr>
          <w:sz w:val="24"/>
          <w:szCs w:val="24"/>
        </w:rPr>
        <w:t>very</w:t>
      </w:r>
      <w:r w:rsidR="005A0E1F" w:rsidRPr="005A0E1F">
        <w:rPr>
          <w:sz w:val="24"/>
          <w:szCs w:val="24"/>
        </w:rPr>
        <w:t xml:space="preserve"> month</w:t>
      </w:r>
      <w:r w:rsidR="005A0E1F">
        <w:rPr>
          <w:sz w:val="24"/>
          <w:szCs w:val="24"/>
        </w:rPr>
        <w:t xml:space="preserve">. </w:t>
      </w:r>
    </w:p>
    <w:p w14:paraId="4F9C20AB" w14:textId="77777777" w:rsidR="005A0E1F" w:rsidRDefault="005A0E1F" w:rsidP="006E3058">
      <w:pPr>
        <w:spacing w:line="240" w:lineRule="auto"/>
        <w:ind w:left="432" w:hanging="432"/>
        <w:rPr>
          <w:sz w:val="24"/>
          <w:szCs w:val="24"/>
        </w:rPr>
      </w:pPr>
    </w:p>
    <w:p w14:paraId="423D009A" w14:textId="77777777" w:rsidR="00B842A8" w:rsidRDefault="00B842A8" w:rsidP="006E3058">
      <w:pPr>
        <w:spacing w:line="240" w:lineRule="auto"/>
        <w:ind w:left="432" w:hanging="432"/>
        <w:rPr>
          <w:sz w:val="24"/>
          <w:szCs w:val="24"/>
        </w:rPr>
      </w:pPr>
    </w:p>
    <w:p w14:paraId="394CEB50" w14:textId="77777777" w:rsidR="00B842A8" w:rsidRDefault="00B842A8" w:rsidP="00B842A8">
      <w:pPr>
        <w:spacing w:line="240" w:lineRule="auto"/>
        <w:ind w:left="432" w:hanging="432"/>
        <w:jc w:val="center"/>
        <w:rPr>
          <w:b/>
          <w:sz w:val="24"/>
          <w:szCs w:val="24"/>
          <w:u w:val="single"/>
        </w:rPr>
      </w:pPr>
      <w:r>
        <w:rPr>
          <w:b/>
          <w:sz w:val="24"/>
          <w:szCs w:val="24"/>
          <w:u w:val="single"/>
        </w:rPr>
        <w:t>RECOMMENDATION</w:t>
      </w:r>
    </w:p>
    <w:p w14:paraId="56EC2DF5" w14:textId="77777777" w:rsidR="00B842A8" w:rsidRDefault="00B842A8" w:rsidP="00B842A8">
      <w:pPr>
        <w:spacing w:line="240" w:lineRule="auto"/>
        <w:ind w:left="432" w:hanging="432"/>
        <w:jc w:val="center"/>
        <w:rPr>
          <w:b/>
          <w:sz w:val="24"/>
          <w:szCs w:val="24"/>
          <w:u w:val="single"/>
        </w:rPr>
      </w:pPr>
    </w:p>
    <w:p w14:paraId="55408E91" w14:textId="4A319B4B" w:rsidR="00302A47" w:rsidRDefault="00437113" w:rsidP="00B842A8">
      <w:pPr>
        <w:spacing w:line="240" w:lineRule="auto"/>
        <w:ind w:left="432" w:hanging="432"/>
        <w:rPr>
          <w:sz w:val="24"/>
          <w:szCs w:val="24"/>
        </w:rPr>
      </w:pPr>
      <w:r>
        <w:rPr>
          <w:sz w:val="24"/>
          <w:szCs w:val="24"/>
        </w:rPr>
        <w:t>20</w:t>
      </w:r>
      <w:r w:rsidR="00B842A8">
        <w:rPr>
          <w:sz w:val="24"/>
          <w:szCs w:val="24"/>
        </w:rPr>
        <w:t>.</w:t>
      </w:r>
      <w:r w:rsidR="00B842A8">
        <w:rPr>
          <w:sz w:val="24"/>
          <w:szCs w:val="24"/>
        </w:rPr>
        <w:tab/>
        <w:t xml:space="preserve">Counsel recommends </w:t>
      </w:r>
      <w:r w:rsidR="00B47624">
        <w:rPr>
          <w:sz w:val="24"/>
          <w:szCs w:val="24"/>
        </w:rPr>
        <w:t xml:space="preserve">that </w:t>
      </w:r>
      <w:r w:rsidR="00B842A8">
        <w:rPr>
          <w:sz w:val="24"/>
          <w:szCs w:val="24"/>
        </w:rPr>
        <w:t xml:space="preserve">the PUC </w:t>
      </w:r>
      <w:r w:rsidR="007C4933">
        <w:rPr>
          <w:sz w:val="24"/>
          <w:szCs w:val="24"/>
        </w:rPr>
        <w:t>approve G</w:t>
      </w:r>
      <w:r w:rsidR="005A0E1F">
        <w:rPr>
          <w:sz w:val="24"/>
          <w:szCs w:val="24"/>
        </w:rPr>
        <w:t>P</w:t>
      </w:r>
      <w:r w:rsidR="007C4933">
        <w:rPr>
          <w:sz w:val="24"/>
          <w:szCs w:val="24"/>
        </w:rPr>
        <w:t xml:space="preserve">A’s </w:t>
      </w:r>
      <w:r>
        <w:rPr>
          <w:sz w:val="24"/>
          <w:szCs w:val="24"/>
        </w:rPr>
        <w:t>month-to</w:t>
      </w:r>
      <w:r w:rsidR="005A0E1F">
        <w:rPr>
          <w:sz w:val="24"/>
          <w:szCs w:val="24"/>
        </w:rPr>
        <w:t xml:space="preserve">-month </w:t>
      </w:r>
      <w:r w:rsidR="00CB7570">
        <w:rPr>
          <w:sz w:val="24"/>
          <w:szCs w:val="24"/>
        </w:rPr>
        <w:t xml:space="preserve">contract </w:t>
      </w:r>
      <w:r w:rsidR="005A0E1F">
        <w:rPr>
          <w:sz w:val="24"/>
          <w:szCs w:val="24"/>
        </w:rPr>
        <w:t xml:space="preserve">extension with Graphic Center </w:t>
      </w:r>
      <w:r w:rsidR="00CB7570">
        <w:rPr>
          <w:sz w:val="24"/>
          <w:szCs w:val="24"/>
        </w:rPr>
        <w:t>for the amount of $</w:t>
      </w:r>
      <w:r w:rsidR="005A0E1F">
        <w:rPr>
          <w:sz w:val="24"/>
          <w:szCs w:val="24"/>
        </w:rPr>
        <w:t>300,000</w:t>
      </w:r>
      <w:r w:rsidR="00CB7570">
        <w:rPr>
          <w:sz w:val="24"/>
          <w:szCs w:val="24"/>
        </w:rPr>
        <w:t xml:space="preserve">. </w:t>
      </w:r>
    </w:p>
    <w:p w14:paraId="21FA4977" w14:textId="77777777" w:rsidR="00302A47" w:rsidRDefault="00302A47" w:rsidP="00B842A8">
      <w:pPr>
        <w:spacing w:line="240" w:lineRule="auto"/>
        <w:ind w:left="432" w:hanging="432"/>
        <w:rPr>
          <w:sz w:val="24"/>
          <w:szCs w:val="24"/>
        </w:rPr>
      </w:pPr>
    </w:p>
    <w:p w14:paraId="1D49CBDB" w14:textId="281ED241" w:rsidR="00B842A8" w:rsidRDefault="00437113" w:rsidP="00B842A8">
      <w:pPr>
        <w:spacing w:line="240" w:lineRule="auto"/>
        <w:ind w:left="432" w:hanging="432"/>
        <w:rPr>
          <w:sz w:val="24"/>
          <w:szCs w:val="24"/>
        </w:rPr>
      </w:pPr>
      <w:r>
        <w:rPr>
          <w:sz w:val="24"/>
          <w:szCs w:val="24"/>
        </w:rPr>
        <w:t>21</w:t>
      </w:r>
      <w:r w:rsidR="00302A47">
        <w:rPr>
          <w:sz w:val="24"/>
          <w:szCs w:val="24"/>
        </w:rPr>
        <w:t xml:space="preserve">.  A </w:t>
      </w:r>
      <w:r w:rsidR="00B842A8">
        <w:rPr>
          <w:sz w:val="24"/>
          <w:szCs w:val="24"/>
        </w:rPr>
        <w:t>Proposed Order is submitted herewith for the consideration of the</w:t>
      </w:r>
      <w:r w:rsidR="00F07E99">
        <w:rPr>
          <w:sz w:val="24"/>
          <w:szCs w:val="24"/>
        </w:rPr>
        <w:t xml:space="preserve"> </w:t>
      </w:r>
      <w:r w:rsidR="00B842A8">
        <w:rPr>
          <w:sz w:val="24"/>
          <w:szCs w:val="24"/>
        </w:rPr>
        <w:t>Commissioners.</w:t>
      </w:r>
    </w:p>
    <w:p w14:paraId="331E4B4E" w14:textId="77777777" w:rsidR="00B842A8" w:rsidRDefault="00B842A8" w:rsidP="00B842A8">
      <w:pPr>
        <w:spacing w:line="240" w:lineRule="auto"/>
        <w:ind w:left="432" w:hanging="432"/>
        <w:rPr>
          <w:sz w:val="24"/>
          <w:szCs w:val="24"/>
        </w:rPr>
      </w:pPr>
    </w:p>
    <w:p w14:paraId="6701884B" w14:textId="0652A3CB" w:rsidR="00F360E8" w:rsidRDefault="00B842A8" w:rsidP="00B842A8">
      <w:pPr>
        <w:spacing w:line="240" w:lineRule="auto"/>
        <w:ind w:left="432" w:hanging="432"/>
        <w:rPr>
          <w:sz w:val="24"/>
          <w:szCs w:val="24"/>
        </w:rPr>
      </w:pPr>
      <w:r>
        <w:rPr>
          <w:sz w:val="24"/>
          <w:szCs w:val="24"/>
        </w:rPr>
        <w:tab/>
        <w:t xml:space="preserve">Dated this </w:t>
      </w:r>
      <w:r w:rsidR="00437113">
        <w:rPr>
          <w:sz w:val="24"/>
          <w:szCs w:val="24"/>
        </w:rPr>
        <w:t xml:space="preserve">23 </w:t>
      </w:r>
      <w:r>
        <w:rPr>
          <w:sz w:val="24"/>
          <w:szCs w:val="24"/>
        </w:rPr>
        <w:t>day of</w:t>
      </w:r>
      <w:r w:rsidR="00302A47">
        <w:rPr>
          <w:sz w:val="24"/>
          <w:szCs w:val="24"/>
        </w:rPr>
        <w:t xml:space="preserve"> </w:t>
      </w:r>
      <w:r w:rsidR="00437113">
        <w:rPr>
          <w:sz w:val="24"/>
          <w:szCs w:val="24"/>
        </w:rPr>
        <w:t>May</w:t>
      </w:r>
      <w:r>
        <w:rPr>
          <w:sz w:val="24"/>
          <w:szCs w:val="24"/>
        </w:rPr>
        <w:t>, 20</w:t>
      </w:r>
      <w:r w:rsidR="00302A47">
        <w:rPr>
          <w:sz w:val="24"/>
          <w:szCs w:val="24"/>
        </w:rPr>
        <w:t>2</w:t>
      </w:r>
      <w:r w:rsidR="00437113">
        <w:rPr>
          <w:sz w:val="24"/>
          <w:szCs w:val="24"/>
        </w:rPr>
        <w:t>2</w:t>
      </w:r>
      <w:r>
        <w:rPr>
          <w:sz w:val="24"/>
          <w:szCs w:val="24"/>
        </w:rPr>
        <w:t>.</w:t>
      </w:r>
      <w:r w:rsidR="00CB7570">
        <w:rPr>
          <w:sz w:val="24"/>
          <w:szCs w:val="24"/>
        </w:rPr>
        <w:t xml:space="preserve">       </w:t>
      </w:r>
    </w:p>
    <w:p w14:paraId="03E5E36A" w14:textId="554DADCC" w:rsidR="00CB7570" w:rsidRDefault="00CB7570" w:rsidP="00B842A8">
      <w:pPr>
        <w:spacing w:line="240" w:lineRule="auto"/>
        <w:ind w:left="432" w:hanging="432"/>
        <w:rPr>
          <w:sz w:val="24"/>
          <w:szCs w:val="24"/>
        </w:rPr>
      </w:pPr>
    </w:p>
    <w:p w14:paraId="201160E6" w14:textId="77777777" w:rsidR="00CB7570" w:rsidRDefault="00CB7570" w:rsidP="00B842A8">
      <w:pPr>
        <w:spacing w:line="240" w:lineRule="auto"/>
        <w:ind w:left="432" w:hanging="432"/>
        <w:rPr>
          <w:sz w:val="24"/>
          <w:szCs w:val="24"/>
        </w:rPr>
      </w:pPr>
    </w:p>
    <w:p w14:paraId="3A40FB72" w14:textId="42B814C9" w:rsidR="00B842A8" w:rsidRPr="00CB7570" w:rsidRDefault="00CB7570" w:rsidP="00B842A8">
      <w:pPr>
        <w:spacing w:line="240" w:lineRule="auto"/>
        <w:ind w:left="432" w:hanging="432"/>
        <w:rPr>
          <w:rFonts w:ascii="Brush Script MT" w:hAnsi="Brush Script MT"/>
          <w:sz w:val="36"/>
          <w:szCs w:val="36"/>
        </w:rPr>
      </w:pPr>
      <w:r>
        <w:rPr>
          <w:sz w:val="24"/>
          <w:szCs w:val="24"/>
        </w:rPr>
        <w:t xml:space="preserve">                                                                                </w:t>
      </w:r>
      <w:r w:rsidRPr="00CB7570">
        <w:rPr>
          <w:rFonts w:ascii="Brush Script MT" w:hAnsi="Brush Script MT"/>
          <w:sz w:val="36"/>
          <w:szCs w:val="36"/>
        </w:rPr>
        <w:t>Anthony R. Camacho</w:t>
      </w:r>
    </w:p>
    <w:p w14:paraId="69FB13D6" w14:textId="1B6CABE3" w:rsidR="00B842A8" w:rsidRDefault="00B842A8" w:rsidP="00B842A8">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w:t>
      </w:r>
      <w:r w:rsidR="00265148">
        <w:rPr>
          <w:sz w:val="24"/>
          <w:szCs w:val="24"/>
        </w:rPr>
        <w:t>____________</w:t>
      </w:r>
      <w:r>
        <w:rPr>
          <w:sz w:val="24"/>
          <w:szCs w:val="24"/>
        </w:rPr>
        <w:t>_</w:t>
      </w:r>
    </w:p>
    <w:p w14:paraId="6034E743" w14:textId="330ADE96" w:rsidR="00B842A8" w:rsidRDefault="00B842A8" w:rsidP="00B842A8">
      <w:pPr>
        <w:spacing w:line="240" w:lineRule="auto"/>
        <w:ind w:left="432" w:hanging="4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7624">
        <w:rPr>
          <w:sz w:val="24"/>
          <w:szCs w:val="24"/>
        </w:rPr>
        <w:t>Anthony R. Camacho, Esq.</w:t>
      </w:r>
      <w:r>
        <w:rPr>
          <w:sz w:val="24"/>
          <w:szCs w:val="24"/>
        </w:rPr>
        <w:t xml:space="preserve"> </w:t>
      </w:r>
    </w:p>
    <w:p w14:paraId="48DB0EAF" w14:textId="2F06641B" w:rsidR="00307CA0" w:rsidRDefault="00B842A8" w:rsidP="00411F30">
      <w:pPr>
        <w:spacing w:line="240" w:lineRule="auto"/>
        <w:ind w:left="432" w:hanging="432"/>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PUC Legal Counsel</w:t>
      </w:r>
    </w:p>
    <w:sectPr w:rsidR="00307CA0" w:rsidSect="00B15ED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E979" w14:textId="77777777" w:rsidR="006905A4" w:rsidRDefault="006905A4" w:rsidP="00782C4F">
      <w:pPr>
        <w:spacing w:line="240" w:lineRule="auto"/>
      </w:pPr>
      <w:r>
        <w:separator/>
      </w:r>
    </w:p>
  </w:endnote>
  <w:endnote w:type="continuationSeparator" w:id="0">
    <w:p w14:paraId="3190BBB5" w14:textId="77777777" w:rsidR="006905A4" w:rsidRDefault="006905A4" w:rsidP="00782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50630"/>
      <w:docPartObj>
        <w:docPartGallery w:val="Page Numbers (Bottom of Page)"/>
        <w:docPartUnique/>
      </w:docPartObj>
    </w:sdtPr>
    <w:sdtEndPr>
      <w:rPr>
        <w:noProof/>
      </w:rPr>
    </w:sdtEndPr>
    <w:sdtContent>
      <w:p w14:paraId="623F6B4D" w14:textId="77777777" w:rsidR="00782C4F" w:rsidRDefault="00782C4F">
        <w:pPr>
          <w:pStyle w:val="Footer"/>
          <w:jc w:val="center"/>
        </w:pPr>
        <w:r>
          <w:fldChar w:fldCharType="begin"/>
        </w:r>
        <w:r>
          <w:instrText xml:space="preserve"> PAGE   \* MERGEFORMAT </w:instrText>
        </w:r>
        <w:r>
          <w:fldChar w:fldCharType="separate"/>
        </w:r>
        <w:r w:rsidR="008B1075">
          <w:rPr>
            <w:noProof/>
          </w:rPr>
          <w:t>3</w:t>
        </w:r>
        <w:r>
          <w:rPr>
            <w:noProof/>
          </w:rPr>
          <w:fldChar w:fldCharType="end"/>
        </w:r>
      </w:p>
    </w:sdtContent>
  </w:sdt>
  <w:p w14:paraId="36045D0A" w14:textId="77777777" w:rsidR="00782C4F" w:rsidRDefault="00782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45E7" w14:textId="77777777" w:rsidR="006905A4" w:rsidRDefault="006905A4" w:rsidP="00782C4F">
      <w:pPr>
        <w:spacing w:line="240" w:lineRule="auto"/>
      </w:pPr>
      <w:r>
        <w:separator/>
      </w:r>
    </w:p>
  </w:footnote>
  <w:footnote w:type="continuationSeparator" w:id="0">
    <w:p w14:paraId="054E3C77" w14:textId="77777777" w:rsidR="006905A4" w:rsidRDefault="006905A4" w:rsidP="00782C4F">
      <w:pPr>
        <w:spacing w:line="240" w:lineRule="auto"/>
      </w:pPr>
      <w:r>
        <w:continuationSeparator/>
      </w:r>
    </w:p>
  </w:footnote>
  <w:footnote w:id="1">
    <w:p w14:paraId="2748C2A3" w14:textId="1F98F1AC" w:rsidR="00C87980" w:rsidRDefault="00C87980">
      <w:pPr>
        <w:pStyle w:val="FootnoteText"/>
      </w:pPr>
      <w:r>
        <w:rPr>
          <w:rStyle w:val="FootnoteReference"/>
        </w:rPr>
        <w:footnoteRef/>
      </w:r>
      <w:r>
        <w:t xml:space="preserve"> </w:t>
      </w:r>
      <w:r w:rsidRPr="00C87980">
        <w:t xml:space="preserve">GPA Petition to Approve the </w:t>
      </w:r>
      <w:r w:rsidR="00C4448D">
        <w:t xml:space="preserve">Month-to-Month </w:t>
      </w:r>
      <w:r>
        <w:t>Contract Extension for Professional Printing, Mailing, Processing</w:t>
      </w:r>
      <w:r w:rsidR="00C4448D">
        <w:t xml:space="preserve"> </w:t>
      </w:r>
      <w:r>
        <w:t>Services</w:t>
      </w:r>
      <w:r w:rsidRPr="00C87980">
        <w:t>, GPA Docket 2</w:t>
      </w:r>
      <w:r w:rsidR="00C4448D">
        <w:t>2</w:t>
      </w:r>
      <w:r w:rsidRPr="00C87980">
        <w:t>-1</w:t>
      </w:r>
      <w:r w:rsidR="00C4448D">
        <w:t>4</w:t>
      </w:r>
      <w:r w:rsidRPr="00C87980">
        <w:t xml:space="preserve">, dated May </w:t>
      </w:r>
      <w:r>
        <w:t>2</w:t>
      </w:r>
      <w:r w:rsidRPr="00C87980">
        <w:t>, 202</w:t>
      </w:r>
      <w:r w:rsidR="00C4448D">
        <w:t>2</w:t>
      </w:r>
      <w:r w:rsidRPr="00C87980">
        <w:t xml:space="preserve"> [GPA Petition].</w:t>
      </w:r>
    </w:p>
  </w:footnote>
  <w:footnote w:id="2">
    <w:p w14:paraId="366C487A" w14:textId="120F4CD2" w:rsidR="00AC574E" w:rsidRDefault="00AC574E">
      <w:pPr>
        <w:pStyle w:val="FootnoteText"/>
      </w:pPr>
      <w:r>
        <w:rPr>
          <w:rStyle w:val="FootnoteReference"/>
        </w:rPr>
        <w:footnoteRef/>
      </w:r>
      <w:r>
        <w:t xml:space="preserve"> </w:t>
      </w:r>
      <w:r w:rsidRPr="00AC574E">
        <w:t>GPA Petition at 3</w:t>
      </w:r>
      <w:r w:rsidR="00221529">
        <w:t>-4</w:t>
      </w:r>
      <w:r w:rsidRPr="00AC574E">
        <w:t xml:space="preserve">.   NOTE:  The page numbers in GPA’s Petition and its exhibits are not continuous and the page numbers cited herein refer to the page number of the PDF version of the </w:t>
      </w:r>
      <w:r w:rsidR="00221529">
        <w:t>Petition</w:t>
      </w:r>
      <w:r w:rsidRPr="00AC574E">
        <w:t xml:space="preserve"> which is continuous.  </w:t>
      </w:r>
    </w:p>
  </w:footnote>
  <w:footnote w:id="3">
    <w:p w14:paraId="66C88D9B" w14:textId="4DA0C3B2" w:rsidR="00AC574E" w:rsidRDefault="00AC574E">
      <w:pPr>
        <w:pStyle w:val="FootnoteText"/>
      </w:pPr>
      <w:r>
        <w:rPr>
          <w:rStyle w:val="FootnoteReference"/>
        </w:rPr>
        <w:footnoteRef/>
      </w:r>
      <w:r>
        <w:t xml:space="preserve"> Id., at 2. </w:t>
      </w:r>
    </w:p>
  </w:footnote>
  <w:footnote w:id="4">
    <w:p w14:paraId="2E8FD876" w14:textId="0125852D" w:rsidR="0075738D" w:rsidRDefault="0075738D">
      <w:pPr>
        <w:pStyle w:val="FootnoteText"/>
      </w:pPr>
      <w:r>
        <w:rPr>
          <w:rStyle w:val="FootnoteReference"/>
        </w:rPr>
        <w:footnoteRef/>
      </w:r>
      <w:r>
        <w:t xml:space="preserve"> </w:t>
      </w:r>
      <w:r w:rsidR="00D00B0F">
        <w:t>PUC Order dated July 21, 2021 in GPA Docket No. 21-11 at 1-2</w:t>
      </w:r>
      <w:r>
        <w:t xml:space="preserve">. </w:t>
      </w:r>
    </w:p>
  </w:footnote>
  <w:footnote w:id="5">
    <w:p w14:paraId="2B9E33E8" w14:textId="07C96480" w:rsidR="0075738D" w:rsidRDefault="0075738D">
      <w:pPr>
        <w:pStyle w:val="FootnoteText"/>
      </w:pPr>
      <w:r>
        <w:rPr>
          <w:rStyle w:val="FootnoteReference"/>
        </w:rPr>
        <w:footnoteRef/>
      </w:r>
      <w:r>
        <w:t xml:space="preserve"> Id., at </w:t>
      </w:r>
      <w:r w:rsidR="00D00B0F">
        <w:t xml:space="preserve">2. </w:t>
      </w:r>
      <w:r w:rsidR="00B760E6">
        <w:t xml:space="preserve"> </w:t>
      </w:r>
    </w:p>
  </w:footnote>
  <w:footnote w:id="6">
    <w:p w14:paraId="4E51379C" w14:textId="64C4A1F9" w:rsidR="00B760E6" w:rsidRDefault="00B760E6">
      <w:pPr>
        <w:pStyle w:val="FootnoteText"/>
      </w:pPr>
      <w:r>
        <w:rPr>
          <w:rStyle w:val="FootnoteReference"/>
        </w:rPr>
        <w:footnoteRef/>
      </w:r>
      <w:r>
        <w:t xml:space="preserve"> </w:t>
      </w:r>
      <w:r w:rsidR="00D00B0F">
        <w:t>Id</w:t>
      </w:r>
      <w:r w:rsidR="008654BB">
        <w:t xml:space="preserve">. </w:t>
      </w:r>
      <w:r>
        <w:t xml:space="preserve"> </w:t>
      </w:r>
    </w:p>
  </w:footnote>
  <w:footnote w:id="7">
    <w:p w14:paraId="42841B82" w14:textId="79B8BDBB" w:rsidR="008654BB" w:rsidRDefault="008654BB">
      <w:pPr>
        <w:pStyle w:val="FootnoteText"/>
      </w:pPr>
      <w:r>
        <w:rPr>
          <w:rStyle w:val="FootnoteReference"/>
        </w:rPr>
        <w:footnoteRef/>
      </w:r>
      <w:r>
        <w:t xml:space="preserve"> Id. </w:t>
      </w:r>
    </w:p>
  </w:footnote>
  <w:footnote w:id="8">
    <w:p w14:paraId="3C2B3B2E" w14:textId="24824C49" w:rsidR="008654BB" w:rsidRDefault="008654BB">
      <w:pPr>
        <w:pStyle w:val="FootnoteText"/>
      </w:pPr>
      <w:r>
        <w:rPr>
          <w:rStyle w:val="FootnoteReference"/>
        </w:rPr>
        <w:footnoteRef/>
      </w:r>
      <w:r>
        <w:t xml:space="preserve"> </w:t>
      </w:r>
      <w:r w:rsidR="00D00B0F">
        <w:t>Id</w:t>
      </w:r>
      <w:r>
        <w:t xml:space="preserve">. </w:t>
      </w:r>
    </w:p>
  </w:footnote>
  <w:footnote w:id="9">
    <w:p w14:paraId="2EC9FBAF" w14:textId="0E08F52E" w:rsidR="00ED4890" w:rsidRDefault="00ED4890">
      <w:pPr>
        <w:pStyle w:val="FootnoteText"/>
      </w:pPr>
      <w:r>
        <w:rPr>
          <w:rStyle w:val="FootnoteReference"/>
        </w:rPr>
        <w:footnoteRef/>
      </w:r>
      <w:r>
        <w:t xml:space="preserve"> GPA Petition at 4. </w:t>
      </w:r>
    </w:p>
  </w:footnote>
  <w:footnote w:id="10">
    <w:p w14:paraId="09FE7798" w14:textId="47BB7D81" w:rsidR="00ED4890" w:rsidRDefault="00ED4890">
      <w:pPr>
        <w:pStyle w:val="FootnoteText"/>
      </w:pPr>
      <w:r>
        <w:rPr>
          <w:rStyle w:val="FootnoteReference"/>
        </w:rPr>
        <w:footnoteRef/>
      </w:r>
      <w:r>
        <w:t xml:space="preserve"> Id.</w:t>
      </w:r>
    </w:p>
  </w:footnote>
  <w:footnote w:id="11">
    <w:p w14:paraId="7759CDC9" w14:textId="412D475B" w:rsidR="00C25F9C" w:rsidRDefault="00C25F9C">
      <w:pPr>
        <w:pStyle w:val="FootnoteText"/>
      </w:pPr>
      <w:r>
        <w:rPr>
          <w:rStyle w:val="FootnoteReference"/>
        </w:rPr>
        <w:footnoteRef/>
      </w:r>
      <w:r>
        <w:t xml:space="preserve"> </w:t>
      </w:r>
      <w:r w:rsidR="003A578B" w:rsidRPr="003A578B">
        <w:t>PUC Order dated July 21, 2021 in GPA Docket No. 21-11 at</w:t>
      </w:r>
      <w:r>
        <w:t xml:space="preserve"> 4. </w:t>
      </w:r>
    </w:p>
  </w:footnote>
  <w:footnote w:id="12">
    <w:p w14:paraId="0AD52EA7" w14:textId="63E33257" w:rsidR="003A578B" w:rsidRDefault="003A578B">
      <w:pPr>
        <w:pStyle w:val="FootnoteText"/>
      </w:pPr>
      <w:r>
        <w:rPr>
          <w:rStyle w:val="FootnoteReference"/>
        </w:rPr>
        <w:footnoteRef/>
      </w:r>
      <w:r>
        <w:t xml:space="preserve"> GPA Petition at 4. </w:t>
      </w:r>
    </w:p>
  </w:footnote>
  <w:footnote w:id="13">
    <w:p w14:paraId="063F387C" w14:textId="224549E1" w:rsidR="003A578B" w:rsidRDefault="003A578B">
      <w:pPr>
        <w:pStyle w:val="FootnoteText"/>
      </w:pPr>
      <w:r>
        <w:rPr>
          <w:rStyle w:val="FootnoteReference"/>
        </w:rPr>
        <w:footnoteRef/>
      </w:r>
      <w:r>
        <w:t xml:space="preserve"> Id. </w:t>
      </w:r>
    </w:p>
  </w:footnote>
  <w:footnote w:id="14">
    <w:p w14:paraId="496479D5" w14:textId="4C291C03" w:rsidR="00557903" w:rsidRDefault="00557903">
      <w:pPr>
        <w:pStyle w:val="FootnoteText"/>
      </w:pPr>
      <w:r>
        <w:rPr>
          <w:rStyle w:val="FootnoteReference"/>
        </w:rPr>
        <w:footnoteRef/>
      </w:r>
      <w:r>
        <w:t xml:space="preserve"> Id.  </w:t>
      </w:r>
    </w:p>
  </w:footnote>
  <w:footnote w:id="15">
    <w:p w14:paraId="2E3D88B0" w14:textId="77777777" w:rsidR="00853EA6" w:rsidRDefault="00853EA6" w:rsidP="00853EA6">
      <w:pPr>
        <w:pStyle w:val="FootnoteText"/>
      </w:pPr>
      <w:r>
        <w:rPr>
          <w:rStyle w:val="FootnoteReference"/>
        </w:rPr>
        <w:footnoteRef/>
      </w:r>
      <w:r>
        <w:t xml:space="preserve"> Id., at 3.  </w:t>
      </w:r>
    </w:p>
  </w:footnote>
  <w:footnote w:id="16">
    <w:p w14:paraId="447CFEED" w14:textId="1FA1FF3D" w:rsidR="006C2BCA" w:rsidRDefault="006C2BCA">
      <w:pPr>
        <w:pStyle w:val="FootnoteText"/>
      </w:pPr>
      <w:r>
        <w:rPr>
          <w:rStyle w:val="FootnoteReference"/>
        </w:rPr>
        <w:footnoteRef/>
      </w:r>
      <w:r>
        <w:t xml:space="preserve"> </w:t>
      </w:r>
      <w:r w:rsidRPr="006C2BCA">
        <w:t xml:space="preserve">PUC Order dated July 21, 2021 in GPA Docket No. 21-11 at </w:t>
      </w:r>
      <w:r>
        <w:t>3</w:t>
      </w:r>
      <w:r w:rsidRPr="006C2B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E211" w14:textId="77777777" w:rsidR="005430F4" w:rsidRDefault="00B15ED3">
    <w:pPr>
      <w:pStyle w:val="Header"/>
    </w:pPr>
    <w:r>
      <w:t>PUC Counsel Report</w:t>
    </w:r>
  </w:p>
  <w:p w14:paraId="1516A229" w14:textId="77777777" w:rsidR="006177CE" w:rsidRDefault="006177CE">
    <w:pPr>
      <w:pStyle w:val="Header"/>
    </w:pPr>
    <w:r>
      <w:t xml:space="preserve">GPA’s Application to Approve the </w:t>
    </w:r>
  </w:p>
  <w:p w14:paraId="2A9019E9" w14:textId="77777777" w:rsidR="006177CE" w:rsidRDefault="006177CE">
    <w:pPr>
      <w:pStyle w:val="Header"/>
    </w:pPr>
    <w:r>
      <w:t xml:space="preserve">Contract Extension for Professional </w:t>
    </w:r>
  </w:p>
  <w:p w14:paraId="3987FCC6" w14:textId="026B70CD" w:rsidR="00B27B06" w:rsidRDefault="006177CE">
    <w:pPr>
      <w:pStyle w:val="Header"/>
    </w:pPr>
    <w:r>
      <w:t xml:space="preserve">Printing, Mailing, </w:t>
    </w:r>
    <w:r w:rsidR="00D00B0F">
      <w:t xml:space="preserve">and </w:t>
    </w:r>
    <w:r>
      <w:t>Processing</w:t>
    </w:r>
    <w:r w:rsidR="00D00B0F">
      <w:t xml:space="preserve"> </w:t>
    </w:r>
    <w:r>
      <w:t>Services</w:t>
    </w:r>
  </w:p>
  <w:p w14:paraId="4F5A302A" w14:textId="13A5FAC3" w:rsidR="00B15ED3" w:rsidRDefault="00B15ED3">
    <w:pPr>
      <w:pStyle w:val="Header"/>
    </w:pPr>
    <w:r>
      <w:t>G</w:t>
    </w:r>
    <w:r w:rsidR="006177CE">
      <w:t>P</w:t>
    </w:r>
    <w:r>
      <w:t xml:space="preserve">A Docket </w:t>
    </w:r>
    <w:r w:rsidR="00C05709">
      <w:t>2</w:t>
    </w:r>
    <w:r w:rsidR="00D00B0F">
      <w:t>2</w:t>
    </w:r>
    <w:r>
      <w:t>-</w:t>
    </w:r>
    <w:r w:rsidR="006177CE">
      <w:t>1</w:t>
    </w:r>
    <w:r w:rsidR="00D00B0F">
      <w:t>4</w:t>
    </w:r>
  </w:p>
  <w:p w14:paraId="51F6A2E2" w14:textId="481E6F42" w:rsidR="00B15ED3" w:rsidRDefault="00D00B0F">
    <w:pPr>
      <w:pStyle w:val="Header"/>
    </w:pPr>
    <w:r>
      <w:t>May 23</w:t>
    </w:r>
    <w:r w:rsidR="006D65A7">
      <w:t>, 20</w:t>
    </w:r>
    <w:r w:rsidR="00C05709">
      <w:t>2</w:t>
    </w:r>
    <w:r>
      <w:t>2</w:t>
    </w:r>
  </w:p>
  <w:p w14:paraId="7DD399F4" w14:textId="77777777" w:rsidR="00B15ED3" w:rsidRDefault="00B15ED3">
    <w:pPr>
      <w:pStyle w:val="Header"/>
    </w:pPr>
    <w:r>
      <w:t>_______________________________</w:t>
    </w:r>
    <w:r w:rsidR="007339A7">
      <w:t>__</w:t>
    </w:r>
  </w:p>
  <w:p w14:paraId="39C62E63" w14:textId="77777777" w:rsidR="00B15ED3" w:rsidRDefault="00B1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1F39"/>
    <w:multiLevelType w:val="hybridMultilevel"/>
    <w:tmpl w:val="25EA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538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F"/>
    <w:rsid w:val="000008D4"/>
    <w:rsid w:val="000046BC"/>
    <w:rsid w:val="00006D07"/>
    <w:rsid w:val="00022983"/>
    <w:rsid w:val="0002735F"/>
    <w:rsid w:val="00040B56"/>
    <w:rsid w:val="00045235"/>
    <w:rsid w:val="00052173"/>
    <w:rsid w:val="00085EF8"/>
    <w:rsid w:val="00095AE6"/>
    <w:rsid w:val="000A047A"/>
    <w:rsid w:val="000C722E"/>
    <w:rsid w:val="000C7424"/>
    <w:rsid w:val="000C7AA1"/>
    <w:rsid w:val="000D3CC1"/>
    <w:rsid w:val="000D468C"/>
    <w:rsid w:val="000D653D"/>
    <w:rsid w:val="000E2EC6"/>
    <w:rsid w:val="000F4881"/>
    <w:rsid w:val="000F5EA8"/>
    <w:rsid w:val="0010487C"/>
    <w:rsid w:val="0010691C"/>
    <w:rsid w:val="00111F50"/>
    <w:rsid w:val="00134273"/>
    <w:rsid w:val="00144F4E"/>
    <w:rsid w:val="001459E1"/>
    <w:rsid w:val="00145FC9"/>
    <w:rsid w:val="00163168"/>
    <w:rsid w:val="001B13B7"/>
    <w:rsid w:val="001B509E"/>
    <w:rsid w:val="001B752A"/>
    <w:rsid w:val="001C0C7C"/>
    <w:rsid w:val="001C29FB"/>
    <w:rsid w:val="001C50A0"/>
    <w:rsid w:val="001D62FD"/>
    <w:rsid w:val="002139D4"/>
    <w:rsid w:val="00221529"/>
    <w:rsid w:val="0022487B"/>
    <w:rsid w:val="00232E76"/>
    <w:rsid w:val="00246180"/>
    <w:rsid w:val="0024694F"/>
    <w:rsid w:val="002518EE"/>
    <w:rsid w:val="00265148"/>
    <w:rsid w:val="0026560F"/>
    <w:rsid w:val="002768C1"/>
    <w:rsid w:val="00277004"/>
    <w:rsid w:val="00282395"/>
    <w:rsid w:val="00287D89"/>
    <w:rsid w:val="002C3B0F"/>
    <w:rsid w:val="002C4900"/>
    <w:rsid w:val="002E1A5A"/>
    <w:rsid w:val="002E6F45"/>
    <w:rsid w:val="002F13EE"/>
    <w:rsid w:val="002F6E53"/>
    <w:rsid w:val="002F7389"/>
    <w:rsid w:val="00302A47"/>
    <w:rsid w:val="00312015"/>
    <w:rsid w:val="003373C3"/>
    <w:rsid w:val="00341C71"/>
    <w:rsid w:val="00351D6A"/>
    <w:rsid w:val="003544D6"/>
    <w:rsid w:val="00355870"/>
    <w:rsid w:val="00363FA7"/>
    <w:rsid w:val="00364A0E"/>
    <w:rsid w:val="003730DC"/>
    <w:rsid w:val="00396061"/>
    <w:rsid w:val="003A1570"/>
    <w:rsid w:val="003A578B"/>
    <w:rsid w:val="003B4B00"/>
    <w:rsid w:val="003B7AD5"/>
    <w:rsid w:val="003C48EE"/>
    <w:rsid w:val="003D0E64"/>
    <w:rsid w:val="003D3F87"/>
    <w:rsid w:val="003D5722"/>
    <w:rsid w:val="003D5F1F"/>
    <w:rsid w:val="003E67FC"/>
    <w:rsid w:val="003E6E30"/>
    <w:rsid w:val="003F1679"/>
    <w:rsid w:val="00402839"/>
    <w:rsid w:val="00411F30"/>
    <w:rsid w:val="00417CB1"/>
    <w:rsid w:val="00425201"/>
    <w:rsid w:val="00434FB1"/>
    <w:rsid w:val="00437113"/>
    <w:rsid w:val="00447F62"/>
    <w:rsid w:val="004520AB"/>
    <w:rsid w:val="00463D3B"/>
    <w:rsid w:val="0047293D"/>
    <w:rsid w:val="00472B36"/>
    <w:rsid w:val="0048503C"/>
    <w:rsid w:val="0049145A"/>
    <w:rsid w:val="004949C5"/>
    <w:rsid w:val="004B38AE"/>
    <w:rsid w:val="004B4036"/>
    <w:rsid w:val="004D56DE"/>
    <w:rsid w:val="004D5C71"/>
    <w:rsid w:val="004D7F83"/>
    <w:rsid w:val="004E2F29"/>
    <w:rsid w:val="004E4C8E"/>
    <w:rsid w:val="004F3C7F"/>
    <w:rsid w:val="005028EC"/>
    <w:rsid w:val="00505BB2"/>
    <w:rsid w:val="005147CA"/>
    <w:rsid w:val="00532356"/>
    <w:rsid w:val="00532651"/>
    <w:rsid w:val="00536178"/>
    <w:rsid w:val="005430F4"/>
    <w:rsid w:val="0054481C"/>
    <w:rsid w:val="00547BD0"/>
    <w:rsid w:val="0055180C"/>
    <w:rsid w:val="00553242"/>
    <w:rsid w:val="00557903"/>
    <w:rsid w:val="005616E6"/>
    <w:rsid w:val="00561B60"/>
    <w:rsid w:val="00581365"/>
    <w:rsid w:val="005820AB"/>
    <w:rsid w:val="00591DF9"/>
    <w:rsid w:val="0059269C"/>
    <w:rsid w:val="00594DD8"/>
    <w:rsid w:val="005956A0"/>
    <w:rsid w:val="0059635F"/>
    <w:rsid w:val="005A0E1F"/>
    <w:rsid w:val="005A2531"/>
    <w:rsid w:val="005A5106"/>
    <w:rsid w:val="005A66A4"/>
    <w:rsid w:val="005B0E9F"/>
    <w:rsid w:val="005B2528"/>
    <w:rsid w:val="005C327A"/>
    <w:rsid w:val="005C403A"/>
    <w:rsid w:val="005E1672"/>
    <w:rsid w:val="005E3F2D"/>
    <w:rsid w:val="00602423"/>
    <w:rsid w:val="00615404"/>
    <w:rsid w:val="00616B47"/>
    <w:rsid w:val="006177CE"/>
    <w:rsid w:val="00620889"/>
    <w:rsid w:val="006267B4"/>
    <w:rsid w:val="006621C5"/>
    <w:rsid w:val="006726B0"/>
    <w:rsid w:val="00674DC9"/>
    <w:rsid w:val="0067561D"/>
    <w:rsid w:val="00676F5B"/>
    <w:rsid w:val="00685C9A"/>
    <w:rsid w:val="00687581"/>
    <w:rsid w:val="006905A4"/>
    <w:rsid w:val="00690B44"/>
    <w:rsid w:val="006A597E"/>
    <w:rsid w:val="006B5A13"/>
    <w:rsid w:val="006C2BCA"/>
    <w:rsid w:val="006D170D"/>
    <w:rsid w:val="006D2E9F"/>
    <w:rsid w:val="006D65A7"/>
    <w:rsid w:val="006E0DE1"/>
    <w:rsid w:val="006E3058"/>
    <w:rsid w:val="006E5E61"/>
    <w:rsid w:val="006F7F8B"/>
    <w:rsid w:val="00713E7C"/>
    <w:rsid w:val="00715FF9"/>
    <w:rsid w:val="00727130"/>
    <w:rsid w:val="007309FF"/>
    <w:rsid w:val="00730EAC"/>
    <w:rsid w:val="007339A7"/>
    <w:rsid w:val="007368D9"/>
    <w:rsid w:val="007419AE"/>
    <w:rsid w:val="007510EA"/>
    <w:rsid w:val="00751D0C"/>
    <w:rsid w:val="00753433"/>
    <w:rsid w:val="00756E26"/>
    <w:rsid w:val="0075738D"/>
    <w:rsid w:val="0076041A"/>
    <w:rsid w:val="0077191B"/>
    <w:rsid w:val="00782C4F"/>
    <w:rsid w:val="007838A0"/>
    <w:rsid w:val="007A7990"/>
    <w:rsid w:val="007B05FA"/>
    <w:rsid w:val="007C4933"/>
    <w:rsid w:val="007C55E6"/>
    <w:rsid w:val="007D3E38"/>
    <w:rsid w:val="007D6F5B"/>
    <w:rsid w:val="007D7E86"/>
    <w:rsid w:val="007E1775"/>
    <w:rsid w:val="007E361B"/>
    <w:rsid w:val="007F1CB6"/>
    <w:rsid w:val="008008E3"/>
    <w:rsid w:val="008048FA"/>
    <w:rsid w:val="00807BA1"/>
    <w:rsid w:val="00807FE6"/>
    <w:rsid w:val="00811A1D"/>
    <w:rsid w:val="00813D7C"/>
    <w:rsid w:val="00820FF4"/>
    <w:rsid w:val="008263B4"/>
    <w:rsid w:val="0083587C"/>
    <w:rsid w:val="00842970"/>
    <w:rsid w:val="00844742"/>
    <w:rsid w:val="00845584"/>
    <w:rsid w:val="00845E86"/>
    <w:rsid w:val="008466BE"/>
    <w:rsid w:val="00851C97"/>
    <w:rsid w:val="00851E73"/>
    <w:rsid w:val="00853EA6"/>
    <w:rsid w:val="008654BB"/>
    <w:rsid w:val="00874328"/>
    <w:rsid w:val="00876674"/>
    <w:rsid w:val="00892FB5"/>
    <w:rsid w:val="008B1075"/>
    <w:rsid w:val="008C27A9"/>
    <w:rsid w:val="008C3EA1"/>
    <w:rsid w:val="008C4716"/>
    <w:rsid w:val="008C627E"/>
    <w:rsid w:val="008C663C"/>
    <w:rsid w:val="008D43D1"/>
    <w:rsid w:val="008D4867"/>
    <w:rsid w:val="008D5312"/>
    <w:rsid w:val="008E632C"/>
    <w:rsid w:val="008F118A"/>
    <w:rsid w:val="008F5730"/>
    <w:rsid w:val="00904E2D"/>
    <w:rsid w:val="00905B9D"/>
    <w:rsid w:val="00923C98"/>
    <w:rsid w:val="00942665"/>
    <w:rsid w:val="00946F1C"/>
    <w:rsid w:val="0096508B"/>
    <w:rsid w:val="009674A9"/>
    <w:rsid w:val="00991752"/>
    <w:rsid w:val="009972B7"/>
    <w:rsid w:val="009A386C"/>
    <w:rsid w:val="009A530F"/>
    <w:rsid w:val="009B3A5F"/>
    <w:rsid w:val="009B7150"/>
    <w:rsid w:val="009C377F"/>
    <w:rsid w:val="009D4EA4"/>
    <w:rsid w:val="00A039AD"/>
    <w:rsid w:val="00A2164D"/>
    <w:rsid w:val="00A32DA2"/>
    <w:rsid w:val="00A33802"/>
    <w:rsid w:val="00A33887"/>
    <w:rsid w:val="00A46BF1"/>
    <w:rsid w:val="00A74013"/>
    <w:rsid w:val="00A805FE"/>
    <w:rsid w:val="00A87897"/>
    <w:rsid w:val="00A901A6"/>
    <w:rsid w:val="00A93F09"/>
    <w:rsid w:val="00AA2CDC"/>
    <w:rsid w:val="00AA3BC4"/>
    <w:rsid w:val="00AA5D6B"/>
    <w:rsid w:val="00AC02E1"/>
    <w:rsid w:val="00AC367F"/>
    <w:rsid w:val="00AC4068"/>
    <w:rsid w:val="00AC574E"/>
    <w:rsid w:val="00AC7EFB"/>
    <w:rsid w:val="00AD1EFD"/>
    <w:rsid w:val="00AD2542"/>
    <w:rsid w:val="00AD5865"/>
    <w:rsid w:val="00AF2E43"/>
    <w:rsid w:val="00B00028"/>
    <w:rsid w:val="00B00077"/>
    <w:rsid w:val="00B02DE9"/>
    <w:rsid w:val="00B15ED3"/>
    <w:rsid w:val="00B17E4D"/>
    <w:rsid w:val="00B27B06"/>
    <w:rsid w:val="00B30777"/>
    <w:rsid w:val="00B47624"/>
    <w:rsid w:val="00B61244"/>
    <w:rsid w:val="00B63D4F"/>
    <w:rsid w:val="00B760E6"/>
    <w:rsid w:val="00B81CD4"/>
    <w:rsid w:val="00B842A8"/>
    <w:rsid w:val="00B8719A"/>
    <w:rsid w:val="00B95EA9"/>
    <w:rsid w:val="00BA38AE"/>
    <w:rsid w:val="00BA38F7"/>
    <w:rsid w:val="00BA4C73"/>
    <w:rsid w:val="00BA604D"/>
    <w:rsid w:val="00BA7548"/>
    <w:rsid w:val="00BB3FE5"/>
    <w:rsid w:val="00BC6D62"/>
    <w:rsid w:val="00BC7AB3"/>
    <w:rsid w:val="00BE4AD1"/>
    <w:rsid w:val="00BF787D"/>
    <w:rsid w:val="00C0561D"/>
    <w:rsid w:val="00C05709"/>
    <w:rsid w:val="00C11E3E"/>
    <w:rsid w:val="00C17241"/>
    <w:rsid w:val="00C24279"/>
    <w:rsid w:val="00C243A6"/>
    <w:rsid w:val="00C24D1A"/>
    <w:rsid w:val="00C25F9C"/>
    <w:rsid w:val="00C32057"/>
    <w:rsid w:val="00C34F06"/>
    <w:rsid w:val="00C4448D"/>
    <w:rsid w:val="00C500A0"/>
    <w:rsid w:val="00C553FE"/>
    <w:rsid w:val="00C6007D"/>
    <w:rsid w:val="00C63464"/>
    <w:rsid w:val="00C66FEE"/>
    <w:rsid w:val="00C75F8B"/>
    <w:rsid w:val="00C77C29"/>
    <w:rsid w:val="00C87980"/>
    <w:rsid w:val="00C95E94"/>
    <w:rsid w:val="00CA5580"/>
    <w:rsid w:val="00CB0AF2"/>
    <w:rsid w:val="00CB7570"/>
    <w:rsid w:val="00CD6CBF"/>
    <w:rsid w:val="00CE2A8A"/>
    <w:rsid w:val="00CF02A3"/>
    <w:rsid w:val="00D00B0F"/>
    <w:rsid w:val="00D03244"/>
    <w:rsid w:val="00D03B2F"/>
    <w:rsid w:val="00D07669"/>
    <w:rsid w:val="00D1172E"/>
    <w:rsid w:val="00D1594E"/>
    <w:rsid w:val="00D2168A"/>
    <w:rsid w:val="00D37DBA"/>
    <w:rsid w:val="00D43C0A"/>
    <w:rsid w:val="00D54C91"/>
    <w:rsid w:val="00D647FE"/>
    <w:rsid w:val="00D86857"/>
    <w:rsid w:val="00DA0166"/>
    <w:rsid w:val="00DA0660"/>
    <w:rsid w:val="00DB394E"/>
    <w:rsid w:val="00DB6823"/>
    <w:rsid w:val="00DB79C1"/>
    <w:rsid w:val="00DD1543"/>
    <w:rsid w:val="00DD1657"/>
    <w:rsid w:val="00DD2947"/>
    <w:rsid w:val="00DD3AD1"/>
    <w:rsid w:val="00DD46DE"/>
    <w:rsid w:val="00DD5D5C"/>
    <w:rsid w:val="00E050DE"/>
    <w:rsid w:val="00E21D09"/>
    <w:rsid w:val="00E324BC"/>
    <w:rsid w:val="00E33E86"/>
    <w:rsid w:val="00E35A12"/>
    <w:rsid w:val="00E43AC5"/>
    <w:rsid w:val="00E5769A"/>
    <w:rsid w:val="00E57ADA"/>
    <w:rsid w:val="00E60E8B"/>
    <w:rsid w:val="00E64DB9"/>
    <w:rsid w:val="00E836F0"/>
    <w:rsid w:val="00E87B61"/>
    <w:rsid w:val="00EA583E"/>
    <w:rsid w:val="00EA6295"/>
    <w:rsid w:val="00EC5BA4"/>
    <w:rsid w:val="00ED0DCC"/>
    <w:rsid w:val="00ED0F0C"/>
    <w:rsid w:val="00ED14DD"/>
    <w:rsid w:val="00ED4890"/>
    <w:rsid w:val="00EE1CC5"/>
    <w:rsid w:val="00EE2E82"/>
    <w:rsid w:val="00EF2FBB"/>
    <w:rsid w:val="00EF7968"/>
    <w:rsid w:val="00F004A4"/>
    <w:rsid w:val="00F01CFA"/>
    <w:rsid w:val="00F07E99"/>
    <w:rsid w:val="00F360E8"/>
    <w:rsid w:val="00F534B1"/>
    <w:rsid w:val="00F541DE"/>
    <w:rsid w:val="00F64F85"/>
    <w:rsid w:val="00F719BF"/>
    <w:rsid w:val="00F81100"/>
    <w:rsid w:val="00F9235D"/>
    <w:rsid w:val="00F96E00"/>
    <w:rsid w:val="00FA7568"/>
    <w:rsid w:val="00FB38A7"/>
    <w:rsid w:val="00FB5080"/>
    <w:rsid w:val="00FD52D9"/>
    <w:rsid w:val="00FF0ED9"/>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0B379"/>
  <w15:docId w15:val="{B049B9F1-280E-484A-A3EE-539A5C7A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4F"/>
    <w:pPr>
      <w:spacing w:line="508" w:lineRule="exact"/>
    </w:pPr>
    <w:rPr>
      <w:rFonts w:ascii="Book Antiqua" w:eastAsia="Times New Roman" w:hAnsi="Book Antiq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782C4F"/>
    <w:pPr>
      <w:spacing w:line="254" w:lineRule="exact"/>
    </w:pPr>
  </w:style>
  <w:style w:type="paragraph" w:styleId="FootnoteText">
    <w:name w:val="footnote text"/>
    <w:basedOn w:val="Normal"/>
    <w:link w:val="FootnoteTextChar"/>
    <w:uiPriority w:val="99"/>
    <w:semiHidden/>
    <w:unhideWhenUsed/>
    <w:rsid w:val="00782C4F"/>
    <w:pPr>
      <w:spacing w:line="240" w:lineRule="auto"/>
    </w:pPr>
  </w:style>
  <w:style w:type="character" w:customStyle="1" w:styleId="FootnoteTextChar">
    <w:name w:val="Footnote Text Char"/>
    <w:basedOn w:val="DefaultParagraphFont"/>
    <w:link w:val="FootnoteText"/>
    <w:uiPriority w:val="99"/>
    <w:semiHidden/>
    <w:rsid w:val="00782C4F"/>
    <w:rPr>
      <w:rFonts w:ascii="Book Antiqua" w:eastAsia="Times New Roman" w:hAnsi="Book Antiqua" w:cs="Times New Roman"/>
      <w:sz w:val="20"/>
      <w:szCs w:val="20"/>
    </w:rPr>
  </w:style>
  <w:style w:type="character" w:styleId="FootnoteReference">
    <w:name w:val="footnote reference"/>
    <w:basedOn w:val="DefaultParagraphFont"/>
    <w:uiPriority w:val="99"/>
    <w:semiHidden/>
    <w:unhideWhenUsed/>
    <w:rsid w:val="00782C4F"/>
    <w:rPr>
      <w:vertAlign w:val="superscript"/>
    </w:rPr>
  </w:style>
  <w:style w:type="paragraph" w:styleId="Header">
    <w:name w:val="header"/>
    <w:basedOn w:val="Normal"/>
    <w:link w:val="HeaderChar"/>
    <w:uiPriority w:val="99"/>
    <w:unhideWhenUsed/>
    <w:rsid w:val="00782C4F"/>
    <w:pPr>
      <w:tabs>
        <w:tab w:val="center" w:pos="4680"/>
        <w:tab w:val="right" w:pos="9360"/>
      </w:tabs>
      <w:spacing w:line="240" w:lineRule="auto"/>
    </w:pPr>
  </w:style>
  <w:style w:type="character" w:customStyle="1" w:styleId="HeaderChar">
    <w:name w:val="Header Char"/>
    <w:basedOn w:val="DefaultParagraphFont"/>
    <w:link w:val="Header"/>
    <w:uiPriority w:val="99"/>
    <w:rsid w:val="00782C4F"/>
    <w:rPr>
      <w:rFonts w:ascii="Book Antiqua" w:eastAsia="Times New Roman" w:hAnsi="Book Antiqua" w:cs="Times New Roman"/>
      <w:sz w:val="20"/>
      <w:szCs w:val="20"/>
    </w:rPr>
  </w:style>
  <w:style w:type="paragraph" w:styleId="Footer">
    <w:name w:val="footer"/>
    <w:basedOn w:val="Normal"/>
    <w:link w:val="FooterChar"/>
    <w:uiPriority w:val="99"/>
    <w:unhideWhenUsed/>
    <w:rsid w:val="00782C4F"/>
    <w:pPr>
      <w:tabs>
        <w:tab w:val="center" w:pos="4680"/>
        <w:tab w:val="right" w:pos="9360"/>
      </w:tabs>
      <w:spacing w:line="240" w:lineRule="auto"/>
    </w:pPr>
  </w:style>
  <w:style w:type="character" w:customStyle="1" w:styleId="FooterChar">
    <w:name w:val="Footer Char"/>
    <w:basedOn w:val="DefaultParagraphFont"/>
    <w:link w:val="Footer"/>
    <w:uiPriority w:val="99"/>
    <w:rsid w:val="00782C4F"/>
    <w:rPr>
      <w:rFonts w:ascii="Book Antiqua" w:eastAsia="Times New Roman" w:hAnsi="Book Antiqua" w:cs="Times New Roman"/>
      <w:sz w:val="20"/>
      <w:szCs w:val="20"/>
    </w:rPr>
  </w:style>
  <w:style w:type="paragraph" w:styleId="ListParagraph">
    <w:name w:val="List Paragraph"/>
    <w:basedOn w:val="Normal"/>
    <w:uiPriority w:val="34"/>
    <w:qFormat/>
    <w:rsid w:val="00ED0DCC"/>
    <w:pPr>
      <w:ind w:left="720"/>
      <w:contextualSpacing/>
    </w:pPr>
  </w:style>
  <w:style w:type="paragraph" w:styleId="BalloonText">
    <w:name w:val="Balloon Text"/>
    <w:basedOn w:val="Normal"/>
    <w:link w:val="BalloonTextChar"/>
    <w:uiPriority w:val="99"/>
    <w:semiHidden/>
    <w:unhideWhenUsed/>
    <w:rsid w:val="000229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9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6E3A-342E-4590-BEBB-7F46F658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Horecky &amp; Associates</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Owner1</dc:creator>
  <cp:lastModifiedBy>Lourdes Palomo</cp:lastModifiedBy>
  <cp:revision>2</cp:revision>
  <cp:lastPrinted>2018-04-18T05:28:00Z</cp:lastPrinted>
  <dcterms:created xsi:type="dcterms:W3CDTF">2022-05-22T22:14:00Z</dcterms:created>
  <dcterms:modified xsi:type="dcterms:W3CDTF">2022-05-22T22:14:00Z</dcterms:modified>
</cp:coreProperties>
</file>